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346A" w14:textId="57CFE865" w:rsidR="00D108BB" w:rsidRPr="001331AF" w:rsidRDefault="00D108BB" w:rsidP="00D108BB">
      <w:pPr>
        <w:shd w:val="clear" w:color="auto" w:fill="FFFFFF"/>
        <w:spacing w:after="0" w:line="240" w:lineRule="auto"/>
        <w:jc w:val="center"/>
        <w:textAlignment w:val="baseline"/>
        <w:rPr>
          <w:rFonts w:ascii="Calibri" w:eastAsia="Times New Roman" w:hAnsi="Calibri" w:cs="Calibri"/>
          <w:b/>
          <w:bCs/>
          <w:sz w:val="24"/>
          <w:szCs w:val="24"/>
          <w:bdr w:val="none" w:sz="0" w:space="0" w:color="auto" w:frame="1"/>
        </w:rPr>
      </w:pPr>
      <w:r w:rsidRPr="001331AF">
        <w:rPr>
          <w:rFonts w:ascii="Proxima Nova" w:eastAsia="Proxima Nova" w:hAnsi="Proxima Nova" w:cs="Proxima Nova"/>
          <w:noProof/>
          <w:sz w:val="24"/>
          <w:szCs w:val="24"/>
        </w:rPr>
        <w:drawing>
          <wp:inline distT="0" distB="0" distL="0" distR="0" wp14:anchorId="5E1349A0" wp14:editId="48A478ED">
            <wp:extent cx="2980343" cy="136398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5324" t="23549" b="18690"/>
                    <a:stretch/>
                  </pic:blipFill>
                  <pic:spPr bwMode="auto">
                    <a:xfrm>
                      <a:off x="0" y="0"/>
                      <a:ext cx="2999883" cy="1372923"/>
                    </a:xfrm>
                    <a:prstGeom prst="rect">
                      <a:avLst/>
                    </a:prstGeom>
                    <a:ln>
                      <a:noFill/>
                    </a:ln>
                    <a:extLst>
                      <a:ext uri="{53640926-AAD7-44D8-BBD7-CCE9431645EC}">
                        <a14:shadowObscured xmlns:a14="http://schemas.microsoft.com/office/drawing/2010/main"/>
                      </a:ext>
                    </a:extLst>
                  </pic:spPr>
                </pic:pic>
              </a:graphicData>
            </a:graphic>
          </wp:inline>
        </w:drawing>
      </w:r>
    </w:p>
    <w:p w14:paraId="378474B6" w14:textId="77777777" w:rsidR="00A8111D" w:rsidRPr="00794852" w:rsidRDefault="00A8111D" w:rsidP="00A8111D">
      <w:pPr>
        <w:rPr>
          <w:rFonts w:ascii="Arial" w:eastAsia="Century Gothic" w:hAnsi="Arial" w:cs="Arial"/>
          <w:b/>
          <w:bCs/>
          <w:sz w:val="24"/>
          <w:szCs w:val="24"/>
        </w:rPr>
      </w:pPr>
      <w:r w:rsidRPr="00794852">
        <w:rPr>
          <w:rFonts w:ascii="Arial" w:eastAsia="Century Gothic" w:hAnsi="Arial" w:cs="Arial"/>
          <w:b/>
          <w:bCs/>
          <w:sz w:val="24"/>
          <w:szCs w:val="24"/>
        </w:rPr>
        <w:t xml:space="preserve">FOR IMMEDIATE RELEASE: </w:t>
      </w:r>
    </w:p>
    <w:p w14:paraId="6F7E4933" w14:textId="095AFBC5" w:rsidR="00A8111D" w:rsidRDefault="00A84137" w:rsidP="00A8111D">
      <w:pPr>
        <w:jc w:val="center"/>
        <w:rPr>
          <w:rFonts w:ascii="Arial" w:eastAsia="Century Gothic" w:hAnsi="Arial" w:cs="Arial"/>
          <w:b/>
          <w:bCs/>
          <w:sz w:val="28"/>
          <w:szCs w:val="28"/>
        </w:rPr>
      </w:pPr>
      <w:r w:rsidRPr="00794852">
        <w:rPr>
          <w:rFonts w:ascii="Arial" w:eastAsia="Century Gothic" w:hAnsi="Arial" w:cs="Arial"/>
          <w:b/>
          <w:bCs/>
          <w:sz w:val="28"/>
          <w:szCs w:val="28"/>
        </w:rPr>
        <w:t xml:space="preserve">30% GROWTH IN US </w:t>
      </w:r>
      <w:r w:rsidR="005B7C9D" w:rsidRPr="00794852">
        <w:rPr>
          <w:rFonts w:ascii="Arial" w:eastAsia="Century Gothic" w:hAnsi="Arial" w:cs="Arial"/>
          <w:b/>
          <w:bCs/>
          <w:sz w:val="28"/>
          <w:szCs w:val="28"/>
        </w:rPr>
        <w:t>MARKET</w:t>
      </w:r>
      <w:r w:rsidRPr="00794852">
        <w:rPr>
          <w:rFonts w:ascii="Arial" w:eastAsia="Century Gothic" w:hAnsi="Arial" w:cs="Arial"/>
          <w:b/>
          <w:bCs/>
          <w:sz w:val="28"/>
          <w:szCs w:val="28"/>
        </w:rPr>
        <w:t xml:space="preserve"> LEAD</w:t>
      </w:r>
      <w:r w:rsidR="005B7C9D" w:rsidRPr="00794852">
        <w:rPr>
          <w:rFonts w:ascii="Arial" w:eastAsia="Century Gothic" w:hAnsi="Arial" w:cs="Arial"/>
          <w:b/>
          <w:bCs/>
          <w:sz w:val="28"/>
          <w:szCs w:val="28"/>
        </w:rPr>
        <w:t>S</w:t>
      </w:r>
      <w:r w:rsidRPr="00794852">
        <w:rPr>
          <w:rFonts w:ascii="Arial" w:eastAsia="Century Gothic" w:hAnsi="Arial" w:cs="Arial"/>
          <w:b/>
          <w:bCs/>
          <w:sz w:val="28"/>
          <w:szCs w:val="28"/>
        </w:rPr>
        <w:t xml:space="preserve"> </w:t>
      </w:r>
      <w:r w:rsidR="00CA4996">
        <w:rPr>
          <w:rFonts w:ascii="Arial" w:eastAsia="Century Gothic" w:hAnsi="Arial" w:cs="Arial"/>
          <w:b/>
          <w:bCs/>
          <w:sz w:val="28"/>
          <w:szCs w:val="28"/>
        </w:rPr>
        <w:t xml:space="preserve">TO </w:t>
      </w:r>
      <w:r w:rsidR="00A56B1B" w:rsidRPr="00794852">
        <w:rPr>
          <w:rFonts w:ascii="Arial" w:eastAsia="Century Gothic" w:hAnsi="Arial" w:cs="Arial"/>
          <w:b/>
          <w:bCs/>
          <w:sz w:val="28"/>
          <w:szCs w:val="28"/>
        </w:rPr>
        <w:t xml:space="preserve">RECORD-BREAKING </w:t>
      </w:r>
      <w:r w:rsidRPr="00794852">
        <w:rPr>
          <w:rFonts w:ascii="Arial" w:eastAsia="Century Gothic" w:hAnsi="Arial" w:cs="Arial"/>
          <w:b/>
          <w:bCs/>
          <w:sz w:val="28"/>
          <w:szCs w:val="28"/>
        </w:rPr>
        <w:t>JULY</w:t>
      </w:r>
      <w:r w:rsidR="00A56B1B" w:rsidRPr="00794852">
        <w:rPr>
          <w:rFonts w:ascii="Arial" w:eastAsia="Century Gothic" w:hAnsi="Arial" w:cs="Arial"/>
          <w:b/>
          <w:bCs/>
          <w:sz w:val="28"/>
          <w:szCs w:val="28"/>
        </w:rPr>
        <w:t xml:space="preserve"> </w:t>
      </w:r>
      <w:r w:rsidR="00455C0D" w:rsidRPr="00794852">
        <w:rPr>
          <w:rFonts w:ascii="Arial" w:eastAsia="Century Gothic" w:hAnsi="Arial" w:cs="Arial"/>
          <w:b/>
          <w:bCs/>
          <w:sz w:val="28"/>
          <w:szCs w:val="28"/>
        </w:rPr>
        <w:t xml:space="preserve">FOR </w:t>
      </w:r>
      <w:r w:rsidR="00A56B1B" w:rsidRPr="00794852">
        <w:rPr>
          <w:rFonts w:ascii="Arial" w:eastAsia="Century Gothic" w:hAnsi="Arial" w:cs="Arial"/>
          <w:b/>
          <w:bCs/>
          <w:sz w:val="28"/>
          <w:szCs w:val="28"/>
        </w:rPr>
        <w:t>ANTIGUA AND BARBUDA</w:t>
      </w:r>
    </w:p>
    <w:p w14:paraId="0279710A" w14:textId="26A537AE" w:rsidR="00013655" w:rsidRDefault="00013655" w:rsidP="00A8111D">
      <w:pPr>
        <w:jc w:val="center"/>
        <w:rPr>
          <w:rFonts w:ascii="Arial" w:eastAsia="Century Gothic" w:hAnsi="Arial" w:cs="Arial"/>
          <w:b/>
          <w:bCs/>
          <w:sz w:val="28"/>
          <w:szCs w:val="28"/>
        </w:rPr>
      </w:pPr>
      <w:r>
        <w:rPr>
          <w:noProof/>
        </w:rPr>
        <w:drawing>
          <wp:inline distT="0" distB="0" distL="0" distR="0" wp14:anchorId="733CB313" wp14:editId="5CAB3261">
            <wp:extent cx="5368636" cy="3577703"/>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1735" cy="3579768"/>
                    </a:xfrm>
                    <a:prstGeom prst="rect">
                      <a:avLst/>
                    </a:prstGeom>
                    <a:noFill/>
                    <a:ln>
                      <a:noFill/>
                    </a:ln>
                  </pic:spPr>
                </pic:pic>
              </a:graphicData>
            </a:graphic>
          </wp:inline>
        </w:drawing>
      </w:r>
    </w:p>
    <w:p w14:paraId="3ECB6D44" w14:textId="1951389D" w:rsidR="00A8111D" w:rsidRDefault="00013655" w:rsidP="00A8111D">
      <w:pPr>
        <w:rPr>
          <w:rFonts w:ascii="Arial" w:hAnsi="Arial" w:cs="Arial"/>
          <w:i/>
          <w:iCs/>
          <w:sz w:val="20"/>
          <w:szCs w:val="20"/>
        </w:rPr>
      </w:pPr>
      <w:r w:rsidRPr="00013655">
        <w:rPr>
          <w:rFonts w:ascii="Arial" w:hAnsi="Arial" w:cs="Arial"/>
          <w:i/>
          <w:iCs/>
          <w:sz w:val="20"/>
          <w:szCs w:val="20"/>
        </w:rPr>
        <w:t xml:space="preserve">Photo Caption: Antigua and Barbuda’s stayover tourism arrivals for July 2022 have topped the July 2019 record (Photo courtesy, The </w:t>
      </w:r>
      <w:proofErr w:type="gramStart"/>
      <w:r w:rsidRPr="00013655">
        <w:rPr>
          <w:rFonts w:ascii="Arial" w:hAnsi="Arial" w:cs="Arial"/>
          <w:i/>
          <w:iCs/>
          <w:sz w:val="20"/>
          <w:szCs w:val="20"/>
        </w:rPr>
        <w:t>Antigua</w:t>
      </w:r>
      <w:proofErr w:type="gramEnd"/>
      <w:r w:rsidRPr="00013655">
        <w:rPr>
          <w:rFonts w:ascii="Arial" w:hAnsi="Arial" w:cs="Arial"/>
          <w:i/>
          <w:iCs/>
          <w:sz w:val="20"/>
          <w:szCs w:val="20"/>
        </w:rPr>
        <w:t xml:space="preserve"> and Barbuda Tourism Authority) </w:t>
      </w:r>
    </w:p>
    <w:p w14:paraId="5BF58F10" w14:textId="77777777" w:rsidR="00013655" w:rsidRPr="00013655" w:rsidRDefault="00013655" w:rsidP="00A8111D">
      <w:pPr>
        <w:rPr>
          <w:rFonts w:ascii="Arial" w:hAnsi="Arial" w:cs="Arial"/>
          <w:i/>
          <w:iCs/>
          <w:sz w:val="20"/>
          <w:szCs w:val="20"/>
        </w:rPr>
      </w:pPr>
    </w:p>
    <w:p w14:paraId="082E51DD" w14:textId="62D03387" w:rsidR="00455C0D" w:rsidRPr="006F2164" w:rsidRDefault="00A8111D" w:rsidP="006F2164">
      <w:pPr>
        <w:spacing w:line="360" w:lineRule="auto"/>
        <w:jc w:val="both"/>
        <w:rPr>
          <w:rFonts w:ascii="Arial" w:eastAsia="Century Gothic" w:hAnsi="Arial" w:cs="Arial"/>
          <w:sz w:val="24"/>
          <w:szCs w:val="24"/>
        </w:rPr>
      </w:pPr>
      <w:r w:rsidRPr="006F2164">
        <w:rPr>
          <w:rFonts w:ascii="Arial" w:eastAsia="Century Gothic" w:hAnsi="Arial" w:cs="Arial"/>
          <w:b/>
          <w:bCs/>
          <w:sz w:val="24"/>
          <w:szCs w:val="24"/>
        </w:rPr>
        <w:t xml:space="preserve">ST. JOHN’S, ANTIGUA (August </w:t>
      </w:r>
      <w:r w:rsidR="00D07375">
        <w:rPr>
          <w:rFonts w:ascii="Arial" w:eastAsia="Century Gothic" w:hAnsi="Arial" w:cs="Arial"/>
          <w:b/>
          <w:bCs/>
          <w:sz w:val="24"/>
          <w:szCs w:val="24"/>
        </w:rPr>
        <w:t>22</w:t>
      </w:r>
      <w:r w:rsidRPr="006F2164">
        <w:rPr>
          <w:rFonts w:ascii="Arial" w:eastAsia="Century Gothic" w:hAnsi="Arial" w:cs="Arial"/>
          <w:b/>
          <w:bCs/>
          <w:sz w:val="24"/>
          <w:szCs w:val="24"/>
        </w:rPr>
        <w:t xml:space="preserve">, 2022) – </w:t>
      </w:r>
      <w:r w:rsidR="00455C0D" w:rsidRPr="006F2164">
        <w:rPr>
          <w:rFonts w:ascii="Arial" w:eastAsia="Century Gothic" w:hAnsi="Arial" w:cs="Arial"/>
          <w:sz w:val="24"/>
          <w:szCs w:val="24"/>
        </w:rPr>
        <w:t>A</w:t>
      </w:r>
      <w:r w:rsidR="00912438" w:rsidRPr="006F2164">
        <w:rPr>
          <w:rFonts w:ascii="Arial" w:eastAsia="Century Gothic" w:hAnsi="Arial" w:cs="Arial"/>
          <w:sz w:val="24"/>
          <w:szCs w:val="24"/>
        </w:rPr>
        <w:t xml:space="preserve">ntigua and </w:t>
      </w:r>
      <w:r w:rsidR="009E10C1" w:rsidRPr="006F2164">
        <w:rPr>
          <w:rFonts w:ascii="Arial" w:eastAsia="Century Gothic" w:hAnsi="Arial" w:cs="Arial"/>
          <w:sz w:val="24"/>
          <w:szCs w:val="24"/>
        </w:rPr>
        <w:t>Barbuda</w:t>
      </w:r>
      <w:r w:rsidR="00BF3D49" w:rsidRPr="006F2164">
        <w:rPr>
          <w:rFonts w:ascii="Arial" w:eastAsia="Century Gothic" w:hAnsi="Arial" w:cs="Arial"/>
          <w:sz w:val="24"/>
          <w:szCs w:val="24"/>
        </w:rPr>
        <w:t>’s</w:t>
      </w:r>
      <w:r w:rsidR="00912438" w:rsidRPr="006F2164">
        <w:rPr>
          <w:rFonts w:ascii="Arial" w:eastAsia="Century Gothic" w:hAnsi="Arial" w:cs="Arial"/>
          <w:sz w:val="24"/>
          <w:szCs w:val="24"/>
        </w:rPr>
        <w:t xml:space="preserve"> </w:t>
      </w:r>
      <w:r w:rsidR="0001740B" w:rsidRPr="006F2164">
        <w:rPr>
          <w:rFonts w:ascii="Arial" w:eastAsia="Century Gothic" w:hAnsi="Arial" w:cs="Arial"/>
          <w:sz w:val="24"/>
          <w:szCs w:val="24"/>
        </w:rPr>
        <w:t xml:space="preserve">steady </w:t>
      </w:r>
      <w:r w:rsidR="00BF3D49" w:rsidRPr="006F2164">
        <w:rPr>
          <w:rFonts w:ascii="Arial" w:eastAsia="Century Gothic" w:hAnsi="Arial" w:cs="Arial"/>
          <w:sz w:val="24"/>
          <w:szCs w:val="24"/>
        </w:rPr>
        <w:t>t</w:t>
      </w:r>
      <w:r w:rsidR="00D66DB4" w:rsidRPr="006F2164">
        <w:rPr>
          <w:rFonts w:ascii="Arial" w:eastAsia="Century Gothic" w:hAnsi="Arial" w:cs="Arial"/>
          <w:sz w:val="24"/>
          <w:szCs w:val="24"/>
        </w:rPr>
        <w:t xml:space="preserve">ourism rebound continues for yet another month as, </w:t>
      </w:r>
      <w:r w:rsidR="00912438" w:rsidRPr="006F2164">
        <w:rPr>
          <w:rFonts w:ascii="Arial" w:eastAsia="Century Gothic" w:hAnsi="Arial" w:cs="Arial"/>
          <w:sz w:val="24"/>
          <w:szCs w:val="24"/>
        </w:rPr>
        <w:t xml:space="preserve">stayover tourism arrivals for July 2022, have topped the July 2019 </w:t>
      </w:r>
      <w:r w:rsidR="00D66DB4" w:rsidRPr="006F2164">
        <w:rPr>
          <w:rFonts w:ascii="Arial" w:eastAsia="Century Gothic" w:hAnsi="Arial" w:cs="Arial"/>
          <w:sz w:val="24"/>
          <w:szCs w:val="24"/>
        </w:rPr>
        <w:t xml:space="preserve">pre-pandemic </w:t>
      </w:r>
      <w:r w:rsidR="00912438" w:rsidRPr="006F2164">
        <w:rPr>
          <w:rFonts w:ascii="Arial" w:eastAsia="Century Gothic" w:hAnsi="Arial" w:cs="Arial"/>
          <w:sz w:val="24"/>
          <w:szCs w:val="24"/>
        </w:rPr>
        <w:t>recor</w:t>
      </w:r>
      <w:r w:rsidR="00D66DB4" w:rsidRPr="006F2164">
        <w:rPr>
          <w:rFonts w:ascii="Arial" w:eastAsia="Century Gothic" w:hAnsi="Arial" w:cs="Arial"/>
          <w:sz w:val="24"/>
          <w:szCs w:val="24"/>
        </w:rPr>
        <w:t>d.</w:t>
      </w:r>
      <w:r w:rsidR="009E10C1" w:rsidRPr="006F2164">
        <w:rPr>
          <w:rFonts w:ascii="Arial" w:eastAsia="Century Gothic" w:hAnsi="Arial" w:cs="Arial"/>
          <w:sz w:val="24"/>
          <w:szCs w:val="24"/>
        </w:rPr>
        <w:t xml:space="preserve"> </w:t>
      </w:r>
    </w:p>
    <w:p w14:paraId="0C4B414A" w14:textId="77777777" w:rsidR="00212114" w:rsidRPr="006F2164" w:rsidRDefault="0001740B" w:rsidP="006F2164">
      <w:pPr>
        <w:spacing w:line="360" w:lineRule="auto"/>
        <w:jc w:val="both"/>
        <w:rPr>
          <w:rFonts w:ascii="Arial" w:eastAsia="Century Gothic" w:hAnsi="Arial" w:cs="Arial"/>
          <w:sz w:val="24"/>
          <w:szCs w:val="24"/>
        </w:rPr>
      </w:pPr>
      <w:r w:rsidRPr="006F2164">
        <w:rPr>
          <w:rFonts w:ascii="Arial" w:eastAsia="Century Gothic" w:hAnsi="Arial" w:cs="Arial"/>
          <w:sz w:val="24"/>
          <w:szCs w:val="24"/>
        </w:rPr>
        <w:t xml:space="preserve">The Antigua and Barbuda Ministry of Tourism is reporting a growth in arrivals of 7% for the month of July against benchmark year 2019.  </w:t>
      </w:r>
    </w:p>
    <w:p w14:paraId="35453E81" w14:textId="3195EDC8" w:rsidR="0001740B" w:rsidRDefault="0001740B" w:rsidP="006F2164">
      <w:pPr>
        <w:spacing w:line="360" w:lineRule="auto"/>
        <w:jc w:val="both"/>
        <w:rPr>
          <w:rFonts w:ascii="Arial" w:eastAsia="Century Gothic" w:hAnsi="Arial" w:cs="Arial"/>
          <w:sz w:val="24"/>
          <w:szCs w:val="24"/>
        </w:rPr>
      </w:pPr>
      <w:r w:rsidRPr="006F2164">
        <w:rPr>
          <w:rFonts w:ascii="Arial" w:eastAsia="Century Gothic" w:hAnsi="Arial" w:cs="Arial"/>
          <w:sz w:val="24"/>
          <w:szCs w:val="24"/>
        </w:rPr>
        <w:lastRenderedPageBreak/>
        <w:t xml:space="preserve">During the month, Antigua and Barbuda welcomed 24,673 visitors to the destination, an increase over 2021’s 23,405 and the 2019 record of 23,031. </w:t>
      </w:r>
    </w:p>
    <w:p w14:paraId="5FCFCFD8" w14:textId="77777777" w:rsidR="00013655" w:rsidRPr="006F2164" w:rsidRDefault="00013655" w:rsidP="006F2164">
      <w:pPr>
        <w:spacing w:line="360" w:lineRule="auto"/>
        <w:jc w:val="both"/>
        <w:rPr>
          <w:rFonts w:ascii="Arial" w:eastAsia="Century Gothic" w:hAnsi="Arial" w:cs="Arial"/>
          <w:sz w:val="24"/>
          <w:szCs w:val="24"/>
        </w:rPr>
      </w:pPr>
    </w:p>
    <w:p w14:paraId="4214DBE9" w14:textId="77777777" w:rsidR="0001740B" w:rsidRPr="006F2164" w:rsidRDefault="0001740B" w:rsidP="006F2164">
      <w:pPr>
        <w:spacing w:line="360" w:lineRule="auto"/>
        <w:jc w:val="both"/>
        <w:rPr>
          <w:rFonts w:ascii="Arial" w:eastAsia="Century Gothic" w:hAnsi="Arial" w:cs="Arial"/>
          <w:sz w:val="24"/>
          <w:szCs w:val="24"/>
        </w:rPr>
      </w:pPr>
    </w:p>
    <w:p w14:paraId="7FB10705" w14:textId="3A0CC4DB" w:rsidR="00212114" w:rsidRPr="006F2164" w:rsidRDefault="009E10C1" w:rsidP="006F2164">
      <w:pPr>
        <w:spacing w:line="360" w:lineRule="auto"/>
        <w:jc w:val="both"/>
        <w:rPr>
          <w:rFonts w:ascii="Arial" w:eastAsia="Century Gothic" w:hAnsi="Arial" w:cs="Arial"/>
          <w:sz w:val="24"/>
          <w:szCs w:val="24"/>
        </w:rPr>
      </w:pPr>
      <w:r w:rsidRPr="006F2164">
        <w:rPr>
          <w:rFonts w:ascii="Arial" w:eastAsia="Century Gothic" w:hAnsi="Arial" w:cs="Arial"/>
          <w:sz w:val="24"/>
          <w:szCs w:val="24"/>
        </w:rPr>
        <w:t>Antigua and Barbuda</w:t>
      </w:r>
      <w:r w:rsidR="00FF022A" w:rsidRPr="006F2164">
        <w:rPr>
          <w:rFonts w:ascii="Arial" w:eastAsia="Century Gothic" w:hAnsi="Arial" w:cs="Arial"/>
          <w:sz w:val="24"/>
          <w:szCs w:val="24"/>
        </w:rPr>
        <w:t>’s</w:t>
      </w:r>
      <w:r w:rsidRPr="006F2164">
        <w:rPr>
          <w:rFonts w:ascii="Arial" w:eastAsia="Century Gothic" w:hAnsi="Arial" w:cs="Arial"/>
          <w:sz w:val="24"/>
          <w:szCs w:val="24"/>
        </w:rPr>
        <w:t xml:space="preserve"> Minister of Tourism </w:t>
      </w:r>
      <w:proofErr w:type="gramStart"/>
      <w:r w:rsidRPr="006F2164">
        <w:rPr>
          <w:rFonts w:ascii="Arial" w:eastAsia="Century Gothic" w:hAnsi="Arial" w:cs="Arial"/>
          <w:sz w:val="24"/>
          <w:szCs w:val="24"/>
        </w:rPr>
        <w:t>The</w:t>
      </w:r>
      <w:proofErr w:type="gramEnd"/>
      <w:r w:rsidRPr="006F2164">
        <w:rPr>
          <w:rFonts w:ascii="Arial" w:eastAsia="Century Gothic" w:hAnsi="Arial" w:cs="Arial"/>
          <w:sz w:val="24"/>
          <w:szCs w:val="24"/>
        </w:rPr>
        <w:t xml:space="preserve"> </w:t>
      </w:r>
      <w:proofErr w:type="spellStart"/>
      <w:r w:rsidRPr="006F2164">
        <w:rPr>
          <w:rFonts w:ascii="Arial" w:eastAsia="Century Gothic" w:hAnsi="Arial" w:cs="Arial"/>
          <w:sz w:val="24"/>
          <w:szCs w:val="24"/>
        </w:rPr>
        <w:t>Honourable</w:t>
      </w:r>
      <w:proofErr w:type="spellEnd"/>
      <w:r w:rsidRPr="006F2164">
        <w:rPr>
          <w:rFonts w:ascii="Arial" w:eastAsia="Century Gothic" w:hAnsi="Arial" w:cs="Arial"/>
          <w:sz w:val="24"/>
          <w:szCs w:val="24"/>
        </w:rPr>
        <w:t xml:space="preserve"> Charles Fernandez said, “</w:t>
      </w:r>
      <w:r w:rsidR="001B0C71" w:rsidRPr="006F2164">
        <w:rPr>
          <w:rFonts w:ascii="Arial" w:eastAsia="Century Gothic" w:hAnsi="Arial" w:cs="Arial"/>
          <w:sz w:val="24"/>
          <w:szCs w:val="24"/>
        </w:rPr>
        <w:t>For a second year, w</w:t>
      </w:r>
      <w:r w:rsidR="00FF022A" w:rsidRPr="006F2164">
        <w:rPr>
          <w:rFonts w:ascii="Arial" w:eastAsia="Century Gothic" w:hAnsi="Arial" w:cs="Arial"/>
          <w:sz w:val="24"/>
          <w:szCs w:val="24"/>
        </w:rPr>
        <w:t>e are experiencing a healthy</w:t>
      </w:r>
      <w:r w:rsidR="00D66DB4" w:rsidRPr="006F2164">
        <w:rPr>
          <w:rFonts w:ascii="Arial" w:eastAsia="Century Gothic" w:hAnsi="Arial" w:cs="Arial"/>
          <w:sz w:val="24"/>
          <w:szCs w:val="24"/>
        </w:rPr>
        <w:t xml:space="preserve"> summer season</w:t>
      </w:r>
      <w:r w:rsidR="00212114" w:rsidRPr="006F2164">
        <w:rPr>
          <w:rFonts w:ascii="Arial" w:eastAsia="Century Gothic" w:hAnsi="Arial" w:cs="Arial"/>
          <w:sz w:val="24"/>
          <w:szCs w:val="24"/>
        </w:rPr>
        <w:t xml:space="preserve"> as consumer</w:t>
      </w:r>
      <w:r w:rsidR="009E5839" w:rsidRPr="006F2164">
        <w:rPr>
          <w:rFonts w:ascii="Arial" w:eastAsia="Century Gothic" w:hAnsi="Arial" w:cs="Arial"/>
          <w:sz w:val="24"/>
          <w:szCs w:val="24"/>
        </w:rPr>
        <w:t xml:space="preserve"> t</w:t>
      </w:r>
      <w:r w:rsidR="00212114" w:rsidRPr="006F2164">
        <w:rPr>
          <w:rFonts w:ascii="Arial" w:eastAsia="Century Gothic" w:hAnsi="Arial" w:cs="Arial"/>
          <w:sz w:val="24"/>
          <w:szCs w:val="24"/>
        </w:rPr>
        <w:t xml:space="preserve">ravel confidence grows and </w:t>
      </w:r>
      <w:proofErr w:type="spellStart"/>
      <w:r w:rsidR="00212114" w:rsidRPr="006F2164">
        <w:rPr>
          <w:rFonts w:ascii="Arial" w:eastAsia="Century Gothic" w:hAnsi="Arial" w:cs="Arial"/>
          <w:sz w:val="24"/>
          <w:szCs w:val="24"/>
        </w:rPr>
        <w:t>travellers</w:t>
      </w:r>
      <w:proofErr w:type="spellEnd"/>
      <w:r w:rsidR="00212114" w:rsidRPr="006F2164">
        <w:rPr>
          <w:rFonts w:ascii="Arial" w:eastAsia="Century Gothic" w:hAnsi="Arial" w:cs="Arial"/>
          <w:sz w:val="24"/>
          <w:szCs w:val="24"/>
        </w:rPr>
        <w:t xml:space="preserve"> make the decision to take that long-awaited vacation or previously delayed trip. </w:t>
      </w:r>
    </w:p>
    <w:p w14:paraId="1BC56094" w14:textId="0DE3A329" w:rsidR="00FF022A" w:rsidRPr="006F2164" w:rsidRDefault="001B0C71" w:rsidP="006F2164">
      <w:pPr>
        <w:spacing w:line="360" w:lineRule="auto"/>
        <w:jc w:val="both"/>
        <w:rPr>
          <w:rFonts w:ascii="Arial" w:eastAsia="Century Gothic" w:hAnsi="Arial" w:cs="Arial"/>
          <w:sz w:val="24"/>
          <w:szCs w:val="24"/>
        </w:rPr>
      </w:pPr>
      <w:r w:rsidRPr="006F2164">
        <w:rPr>
          <w:rFonts w:ascii="Arial" w:eastAsia="Century Gothic" w:hAnsi="Arial" w:cs="Arial"/>
          <w:sz w:val="24"/>
          <w:szCs w:val="24"/>
        </w:rPr>
        <w:t xml:space="preserve">In July, we say a </w:t>
      </w:r>
      <w:r w:rsidR="009E5839" w:rsidRPr="006F2164">
        <w:rPr>
          <w:rFonts w:ascii="Arial" w:eastAsia="Century Gothic" w:hAnsi="Arial" w:cs="Arial"/>
          <w:sz w:val="24"/>
          <w:szCs w:val="24"/>
        </w:rPr>
        <w:t>notable</w:t>
      </w:r>
      <w:r w:rsidRPr="006F2164">
        <w:rPr>
          <w:rFonts w:ascii="Arial" w:eastAsia="Century Gothic" w:hAnsi="Arial" w:cs="Arial"/>
          <w:sz w:val="24"/>
          <w:szCs w:val="24"/>
        </w:rPr>
        <w:t xml:space="preserve"> increase in group travel that contributed significantly to our growth, with one group from the US, bringing in approximately five hundred visitors travelling to enjoy </w:t>
      </w:r>
      <w:r w:rsidR="009E5839" w:rsidRPr="006F2164">
        <w:rPr>
          <w:rFonts w:ascii="Arial" w:eastAsia="Century Gothic" w:hAnsi="Arial" w:cs="Arial"/>
          <w:sz w:val="24"/>
          <w:szCs w:val="24"/>
        </w:rPr>
        <w:t xml:space="preserve">our </w:t>
      </w:r>
      <w:r w:rsidRPr="006F2164">
        <w:rPr>
          <w:rFonts w:ascii="Arial" w:eastAsia="Century Gothic" w:hAnsi="Arial" w:cs="Arial"/>
          <w:sz w:val="24"/>
          <w:szCs w:val="24"/>
        </w:rPr>
        <w:t>summer events.  We ar</w:t>
      </w:r>
      <w:r w:rsidR="00FF022A" w:rsidRPr="006F2164">
        <w:rPr>
          <w:rFonts w:ascii="Arial" w:eastAsia="Century Gothic" w:hAnsi="Arial" w:cs="Arial"/>
          <w:sz w:val="24"/>
          <w:szCs w:val="24"/>
        </w:rPr>
        <w:t xml:space="preserve">e optimistic that </w:t>
      </w:r>
      <w:r w:rsidRPr="006F2164">
        <w:rPr>
          <w:rFonts w:ascii="Arial" w:eastAsia="Century Gothic" w:hAnsi="Arial" w:cs="Arial"/>
          <w:sz w:val="24"/>
          <w:szCs w:val="24"/>
        </w:rPr>
        <w:t>we will maintain this strong position of growth into August</w:t>
      </w:r>
      <w:r w:rsidR="00FF022A" w:rsidRPr="006F2164">
        <w:rPr>
          <w:rFonts w:ascii="Arial" w:eastAsia="Century Gothic" w:hAnsi="Arial" w:cs="Arial"/>
          <w:sz w:val="24"/>
          <w:szCs w:val="24"/>
        </w:rPr>
        <w:t xml:space="preserve">.”  </w:t>
      </w:r>
    </w:p>
    <w:p w14:paraId="355389A2" w14:textId="31A5A979" w:rsidR="00455C0D" w:rsidRDefault="00BF3D49" w:rsidP="006F2164">
      <w:pPr>
        <w:spacing w:line="360" w:lineRule="auto"/>
        <w:jc w:val="both"/>
        <w:rPr>
          <w:rFonts w:ascii="Arial" w:eastAsia="Times New Roman" w:hAnsi="Arial" w:cs="Arial"/>
          <w:color w:val="323130"/>
          <w:sz w:val="24"/>
          <w:szCs w:val="24"/>
        </w:rPr>
      </w:pPr>
      <w:r w:rsidRPr="006F2164">
        <w:rPr>
          <w:rFonts w:ascii="Arial" w:eastAsia="Century Gothic" w:hAnsi="Arial" w:cs="Arial"/>
          <w:sz w:val="24"/>
          <w:szCs w:val="24"/>
        </w:rPr>
        <w:t>An</w:t>
      </w:r>
      <w:r w:rsidR="001B0C71" w:rsidRPr="006F2164">
        <w:rPr>
          <w:rFonts w:ascii="Arial" w:eastAsia="Century Gothic" w:hAnsi="Arial" w:cs="Arial"/>
          <w:sz w:val="24"/>
          <w:szCs w:val="24"/>
        </w:rPr>
        <w:t xml:space="preserve"> </w:t>
      </w:r>
      <w:r w:rsidR="00E3139D" w:rsidRPr="006F2164">
        <w:rPr>
          <w:rFonts w:ascii="Arial" w:eastAsia="Century Gothic" w:hAnsi="Arial" w:cs="Arial"/>
          <w:sz w:val="24"/>
          <w:szCs w:val="24"/>
        </w:rPr>
        <w:t>influx of visitors from the</w:t>
      </w:r>
      <w:r w:rsidRPr="006F2164">
        <w:rPr>
          <w:rFonts w:ascii="Arial" w:eastAsia="Century Gothic" w:hAnsi="Arial" w:cs="Arial"/>
          <w:sz w:val="24"/>
          <w:szCs w:val="24"/>
        </w:rPr>
        <w:t xml:space="preserve"> United States c</w:t>
      </w:r>
      <w:r w:rsidR="00B25B7D" w:rsidRPr="006F2164">
        <w:rPr>
          <w:rFonts w:ascii="Arial" w:eastAsia="Century Gothic" w:hAnsi="Arial" w:cs="Arial"/>
          <w:sz w:val="24"/>
          <w:szCs w:val="24"/>
        </w:rPr>
        <w:t>ontributed to the</w:t>
      </w:r>
      <w:r w:rsidR="0098119A" w:rsidRPr="006F2164">
        <w:rPr>
          <w:rFonts w:ascii="Arial" w:eastAsia="Century Gothic" w:hAnsi="Arial" w:cs="Arial"/>
          <w:sz w:val="24"/>
          <w:szCs w:val="24"/>
        </w:rPr>
        <w:t xml:space="preserve"> </w:t>
      </w:r>
      <w:r w:rsidR="00B25B7D" w:rsidRPr="006F2164">
        <w:rPr>
          <w:rFonts w:ascii="Arial" w:eastAsia="Century Gothic" w:hAnsi="Arial" w:cs="Arial"/>
          <w:sz w:val="24"/>
          <w:szCs w:val="24"/>
        </w:rPr>
        <w:t xml:space="preserve">increase with arrivals </w:t>
      </w:r>
      <w:r w:rsidRPr="006F2164">
        <w:rPr>
          <w:rFonts w:ascii="Arial" w:eastAsia="Century Gothic" w:hAnsi="Arial" w:cs="Arial"/>
          <w:sz w:val="24"/>
          <w:szCs w:val="24"/>
        </w:rPr>
        <w:t>30%</w:t>
      </w:r>
      <w:r w:rsidR="005B7C9D" w:rsidRPr="006F2164">
        <w:rPr>
          <w:rFonts w:ascii="Arial" w:eastAsia="Century Gothic" w:hAnsi="Arial" w:cs="Arial"/>
          <w:sz w:val="24"/>
          <w:szCs w:val="24"/>
        </w:rPr>
        <w:t xml:space="preserve"> higher than in July 2019.  </w:t>
      </w:r>
      <w:r w:rsidR="00912438" w:rsidRPr="006F2164">
        <w:rPr>
          <w:rFonts w:ascii="Arial" w:eastAsia="Century Gothic" w:hAnsi="Arial" w:cs="Arial"/>
          <w:sz w:val="24"/>
          <w:szCs w:val="24"/>
        </w:rPr>
        <w:t xml:space="preserve"> </w:t>
      </w:r>
      <w:r w:rsidR="000756FC" w:rsidRPr="006F2164">
        <w:rPr>
          <w:rFonts w:ascii="Arial" w:eastAsia="Times New Roman" w:hAnsi="Arial" w:cs="Arial"/>
          <w:color w:val="000000"/>
          <w:sz w:val="24"/>
          <w:szCs w:val="24"/>
          <w:lang w:val="en-AG" w:eastAsia="en-AG"/>
        </w:rPr>
        <w:t>13</w:t>
      </w:r>
      <w:r w:rsidR="001B0C71" w:rsidRPr="006F2164">
        <w:rPr>
          <w:rFonts w:ascii="Arial" w:eastAsia="Times New Roman" w:hAnsi="Arial" w:cs="Arial"/>
          <w:color w:val="000000"/>
          <w:sz w:val="24"/>
          <w:szCs w:val="24"/>
          <w:lang w:eastAsia="en-AG"/>
        </w:rPr>
        <w:t>,</w:t>
      </w:r>
      <w:r w:rsidR="000756FC" w:rsidRPr="006F2164">
        <w:rPr>
          <w:rFonts w:ascii="Arial" w:eastAsia="Times New Roman" w:hAnsi="Arial" w:cs="Arial"/>
          <w:color w:val="000000"/>
          <w:sz w:val="24"/>
          <w:szCs w:val="24"/>
          <w:lang w:val="en-AG" w:eastAsia="en-AG"/>
        </w:rPr>
        <w:t>305</w:t>
      </w:r>
      <w:r w:rsidR="000756FC" w:rsidRPr="006F2164">
        <w:rPr>
          <w:rFonts w:ascii="Arial" w:eastAsia="Times New Roman" w:hAnsi="Arial" w:cs="Arial"/>
          <w:color w:val="000000"/>
          <w:sz w:val="24"/>
          <w:szCs w:val="24"/>
          <w:lang w:eastAsia="en-AG"/>
        </w:rPr>
        <w:t xml:space="preserve"> </w:t>
      </w:r>
      <w:r w:rsidR="000756FC" w:rsidRPr="006F2164">
        <w:rPr>
          <w:rFonts w:ascii="Arial" w:eastAsia="Times New Roman" w:hAnsi="Arial" w:cs="Arial"/>
          <w:color w:val="323130"/>
          <w:sz w:val="24"/>
          <w:szCs w:val="24"/>
        </w:rPr>
        <w:t>of Antigua and Barbuda’s tourists travelled by air from the United States</w:t>
      </w:r>
      <w:r w:rsidR="00E3139D" w:rsidRPr="006F2164">
        <w:rPr>
          <w:rFonts w:ascii="Arial" w:eastAsia="Times New Roman" w:hAnsi="Arial" w:cs="Arial"/>
          <w:color w:val="323130"/>
          <w:sz w:val="24"/>
          <w:szCs w:val="24"/>
        </w:rPr>
        <w:t xml:space="preserve"> in July, an additional three thousand plus when compared to July 2019</w:t>
      </w:r>
      <w:r w:rsidR="000756FC" w:rsidRPr="006F2164">
        <w:rPr>
          <w:rFonts w:ascii="Arial" w:eastAsia="Times New Roman" w:hAnsi="Arial" w:cs="Arial"/>
          <w:color w:val="323130"/>
          <w:sz w:val="24"/>
          <w:szCs w:val="24"/>
        </w:rPr>
        <w:t>.</w:t>
      </w:r>
    </w:p>
    <w:p w14:paraId="0566A82E" w14:textId="77777777" w:rsidR="00013655" w:rsidRPr="00794852" w:rsidRDefault="00013655" w:rsidP="00013655">
      <w:pPr>
        <w:jc w:val="center"/>
        <w:rPr>
          <w:rFonts w:ascii="Arial" w:eastAsia="Times New Roman" w:hAnsi="Arial" w:cs="Arial"/>
          <w:b/>
          <w:bCs/>
          <w:sz w:val="24"/>
          <w:szCs w:val="24"/>
          <w:bdr w:val="none" w:sz="0" w:space="0" w:color="auto" w:frame="1"/>
        </w:rPr>
      </w:pPr>
      <w:r w:rsidRPr="00794852">
        <w:rPr>
          <w:rFonts w:ascii="Arial" w:hAnsi="Arial" w:cs="Arial"/>
          <w:noProof/>
        </w:rPr>
        <w:drawing>
          <wp:inline distT="0" distB="0" distL="0" distR="0" wp14:anchorId="45DD12DB" wp14:editId="6BE9D1BF">
            <wp:extent cx="5237018" cy="3036224"/>
            <wp:effectExtent l="0" t="0" r="1905" b="12065"/>
            <wp:docPr id="6" name="Chart 6">
              <a:extLst xmlns:a="http://schemas.openxmlformats.org/drawingml/2006/main">
                <a:ext uri="{FF2B5EF4-FFF2-40B4-BE49-F238E27FC236}">
                  <a16:creationId xmlns:a16="http://schemas.microsoft.com/office/drawing/2014/main" id="{194E39C9-C968-957E-A1F9-A06BBE6AD0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4E9E9D" w14:textId="77777777" w:rsidR="00013655" w:rsidRDefault="00013655" w:rsidP="00013655">
      <w:pPr>
        <w:shd w:val="clear" w:color="auto" w:fill="FFFFFF"/>
        <w:spacing w:after="0" w:line="360" w:lineRule="auto"/>
        <w:jc w:val="center"/>
        <w:textAlignment w:val="baseline"/>
        <w:rPr>
          <w:rFonts w:ascii="Arial" w:eastAsia="Times New Roman" w:hAnsi="Arial" w:cs="Arial"/>
          <w:i/>
          <w:iCs/>
          <w:sz w:val="18"/>
          <w:szCs w:val="18"/>
          <w:bdr w:val="none" w:sz="0" w:space="0" w:color="auto" w:frame="1"/>
        </w:rPr>
      </w:pPr>
      <w:r w:rsidRPr="00794852">
        <w:rPr>
          <w:rFonts w:ascii="Arial" w:eastAsia="Times New Roman" w:hAnsi="Arial" w:cs="Arial"/>
          <w:i/>
          <w:iCs/>
          <w:sz w:val="18"/>
          <w:szCs w:val="18"/>
          <w:bdr w:val="none" w:sz="0" w:space="0" w:color="auto" w:frame="1"/>
        </w:rPr>
        <w:t>Photo Caption:</w:t>
      </w:r>
      <w:r>
        <w:rPr>
          <w:rFonts w:ascii="Arial" w:eastAsia="Times New Roman" w:hAnsi="Arial" w:cs="Arial"/>
          <w:i/>
          <w:iCs/>
          <w:sz w:val="18"/>
          <w:szCs w:val="18"/>
          <w:bdr w:val="none" w:sz="0" w:space="0" w:color="auto" w:frame="1"/>
        </w:rPr>
        <w:t xml:space="preserve"> Antigua and Barbuda Tourism Arrivals Comparison July 2022 and July 2019 </w:t>
      </w:r>
    </w:p>
    <w:p w14:paraId="3927C5D3" w14:textId="77777777" w:rsidR="00013655" w:rsidRPr="00794852" w:rsidRDefault="00013655" w:rsidP="00013655">
      <w:pPr>
        <w:shd w:val="clear" w:color="auto" w:fill="FFFFFF"/>
        <w:spacing w:after="0" w:line="360" w:lineRule="auto"/>
        <w:jc w:val="center"/>
        <w:textAlignment w:val="baseline"/>
        <w:rPr>
          <w:rFonts w:ascii="Arial" w:eastAsia="Times New Roman" w:hAnsi="Arial" w:cs="Arial"/>
          <w:i/>
          <w:iCs/>
          <w:sz w:val="18"/>
          <w:szCs w:val="18"/>
          <w:bdr w:val="none" w:sz="0" w:space="0" w:color="auto" w:frame="1"/>
        </w:rPr>
      </w:pPr>
      <w:r>
        <w:rPr>
          <w:rFonts w:ascii="Arial" w:eastAsia="Times New Roman" w:hAnsi="Arial" w:cs="Arial"/>
          <w:i/>
          <w:iCs/>
          <w:sz w:val="18"/>
          <w:szCs w:val="18"/>
          <w:bdr w:val="none" w:sz="0" w:space="0" w:color="auto" w:frame="1"/>
        </w:rPr>
        <w:t xml:space="preserve">statistics reported by the Ministry of Tourism, </w:t>
      </w:r>
      <w:proofErr w:type="gramStart"/>
      <w:r>
        <w:rPr>
          <w:rFonts w:ascii="Arial" w:eastAsia="Times New Roman" w:hAnsi="Arial" w:cs="Arial"/>
          <w:i/>
          <w:iCs/>
          <w:sz w:val="18"/>
          <w:szCs w:val="18"/>
          <w:bdr w:val="none" w:sz="0" w:space="0" w:color="auto" w:frame="1"/>
        </w:rPr>
        <w:t>Antigua</w:t>
      </w:r>
      <w:proofErr w:type="gramEnd"/>
      <w:r>
        <w:rPr>
          <w:rFonts w:ascii="Arial" w:eastAsia="Times New Roman" w:hAnsi="Arial" w:cs="Arial"/>
          <w:i/>
          <w:iCs/>
          <w:sz w:val="18"/>
          <w:szCs w:val="18"/>
          <w:bdr w:val="none" w:sz="0" w:space="0" w:color="auto" w:frame="1"/>
        </w:rPr>
        <w:t xml:space="preserve"> and Barbuda</w:t>
      </w:r>
    </w:p>
    <w:p w14:paraId="17DBAD4F" w14:textId="5A14C307" w:rsidR="00C24F5C" w:rsidRPr="006F2164" w:rsidRDefault="0001740B" w:rsidP="006F2164">
      <w:pPr>
        <w:spacing w:line="360" w:lineRule="auto"/>
        <w:jc w:val="both"/>
        <w:rPr>
          <w:rFonts w:ascii="Arial" w:eastAsia="Century Gothic" w:hAnsi="Arial" w:cs="Arial"/>
          <w:sz w:val="24"/>
          <w:szCs w:val="24"/>
        </w:rPr>
      </w:pPr>
      <w:r w:rsidRPr="006F2164">
        <w:rPr>
          <w:rFonts w:ascii="Arial" w:eastAsia="Century Gothic" w:hAnsi="Arial" w:cs="Arial"/>
          <w:sz w:val="24"/>
          <w:szCs w:val="24"/>
        </w:rPr>
        <w:lastRenderedPageBreak/>
        <w:t>There was also</w:t>
      </w:r>
      <w:r w:rsidR="0098119A" w:rsidRPr="006F2164">
        <w:rPr>
          <w:rFonts w:ascii="Arial" w:eastAsia="Century Gothic" w:hAnsi="Arial" w:cs="Arial"/>
          <w:sz w:val="24"/>
          <w:szCs w:val="24"/>
        </w:rPr>
        <w:t xml:space="preserve"> </w:t>
      </w:r>
      <w:r w:rsidRPr="006F2164">
        <w:rPr>
          <w:rFonts w:ascii="Arial" w:eastAsia="Century Gothic" w:hAnsi="Arial" w:cs="Arial"/>
          <w:sz w:val="24"/>
          <w:szCs w:val="24"/>
        </w:rPr>
        <w:t xml:space="preserve">growth within the UK market, with an increase of </w:t>
      </w:r>
      <w:r w:rsidR="0098119A" w:rsidRPr="006F2164">
        <w:rPr>
          <w:rFonts w:ascii="Arial" w:eastAsia="Century Gothic" w:hAnsi="Arial" w:cs="Arial"/>
          <w:sz w:val="24"/>
          <w:szCs w:val="24"/>
        </w:rPr>
        <w:t xml:space="preserve">two hundred and seventy-two </w:t>
      </w:r>
      <w:r w:rsidRPr="006F2164">
        <w:rPr>
          <w:rFonts w:ascii="Arial" w:eastAsia="Century Gothic" w:hAnsi="Arial" w:cs="Arial"/>
          <w:sz w:val="24"/>
          <w:szCs w:val="24"/>
        </w:rPr>
        <w:t xml:space="preserve">British visitors to the destination leading to a 5% increase in tourism arrivals </w:t>
      </w:r>
      <w:r w:rsidR="0098119A" w:rsidRPr="006F2164">
        <w:rPr>
          <w:rFonts w:ascii="Arial" w:eastAsia="Century Gothic" w:hAnsi="Arial" w:cs="Arial"/>
          <w:sz w:val="24"/>
          <w:szCs w:val="24"/>
        </w:rPr>
        <w:t xml:space="preserve">for the month </w:t>
      </w:r>
      <w:r w:rsidRPr="006F2164">
        <w:rPr>
          <w:rFonts w:ascii="Arial" w:eastAsia="Century Gothic" w:hAnsi="Arial" w:cs="Arial"/>
          <w:sz w:val="24"/>
          <w:szCs w:val="24"/>
        </w:rPr>
        <w:t xml:space="preserve">over 2019. </w:t>
      </w:r>
      <w:r w:rsidR="0098119A" w:rsidRPr="006F2164">
        <w:rPr>
          <w:rFonts w:ascii="Arial" w:eastAsia="Century Gothic" w:hAnsi="Arial" w:cs="Arial"/>
          <w:sz w:val="24"/>
          <w:szCs w:val="24"/>
        </w:rPr>
        <w:t>Arrivals stood at</w:t>
      </w:r>
      <w:r w:rsidRPr="006F2164">
        <w:rPr>
          <w:rFonts w:ascii="Arial" w:eastAsia="Century Gothic" w:hAnsi="Arial" w:cs="Arial"/>
          <w:sz w:val="24"/>
          <w:szCs w:val="24"/>
        </w:rPr>
        <w:t xml:space="preserve"> 5,650 </w:t>
      </w:r>
      <w:r w:rsidR="0098119A" w:rsidRPr="006F2164">
        <w:rPr>
          <w:rFonts w:ascii="Arial" w:eastAsia="Century Gothic" w:hAnsi="Arial" w:cs="Arial"/>
          <w:sz w:val="24"/>
          <w:szCs w:val="24"/>
        </w:rPr>
        <w:t xml:space="preserve">in comparison to the </w:t>
      </w:r>
      <w:r w:rsidRPr="006F2164">
        <w:rPr>
          <w:rFonts w:ascii="Arial" w:eastAsia="Century Gothic" w:hAnsi="Arial" w:cs="Arial"/>
          <w:sz w:val="24"/>
          <w:szCs w:val="24"/>
        </w:rPr>
        <w:t>5,378</w:t>
      </w:r>
      <w:r w:rsidR="0098119A" w:rsidRPr="006F2164">
        <w:rPr>
          <w:rFonts w:ascii="Arial" w:eastAsia="Century Gothic" w:hAnsi="Arial" w:cs="Arial"/>
          <w:sz w:val="24"/>
          <w:szCs w:val="24"/>
        </w:rPr>
        <w:t xml:space="preserve"> in 2019. </w:t>
      </w:r>
      <w:r w:rsidRPr="006F2164">
        <w:rPr>
          <w:rFonts w:ascii="Arial" w:eastAsia="Century Gothic" w:hAnsi="Arial" w:cs="Arial"/>
          <w:sz w:val="24"/>
          <w:szCs w:val="24"/>
        </w:rPr>
        <w:t xml:space="preserve"> </w:t>
      </w:r>
    </w:p>
    <w:p w14:paraId="698AC087" w14:textId="2BD9A7D4" w:rsidR="00D667CC" w:rsidRPr="006F2164" w:rsidRDefault="00D667CC" w:rsidP="006F2164">
      <w:pPr>
        <w:spacing w:line="360" w:lineRule="auto"/>
        <w:jc w:val="both"/>
        <w:rPr>
          <w:rFonts w:ascii="Arial" w:eastAsia="Century Gothic" w:hAnsi="Arial" w:cs="Arial"/>
          <w:sz w:val="24"/>
          <w:szCs w:val="24"/>
        </w:rPr>
      </w:pPr>
      <w:r w:rsidRPr="006F2164">
        <w:rPr>
          <w:rFonts w:ascii="Arial" w:eastAsia="Century Gothic" w:hAnsi="Arial" w:cs="Arial"/>
          <w:sz w:val="24"/>
          <w:szCs w:val="24"/>
        </w:rPr>
        <w:t xml:space="preserve">Arrivals from Canada grew by 1% while the Caribbean market saw a decline of 19%. </w:t>
      </w:r>
    </w:p>
    <w:p w14:paraId="53709F4F" w14:textId="77777777" w:rsidR="00432284" w:rsidRPr="006F2164" w:rsidRDefault="00432284" w:rsidP="006F2164">
      <w:pPr>
        <w:spacing w:line="360" w:lineRule="auto"/>
        <w:jc w:val="both"/>
        <w:rPr>
          <w:rFonts w:ascii="Arial" w:eastAsia="Times New Roman" w:hAnsi="Arial" w:cs="Arial"/>
          <w:color w:val="201F1E"/>
          <w:sz w:val="24"/>
          <w:szCs w:val="24"/>
          <w:lang w:eastAsia="en-AG"/>
        </w:rPr>
      </w:pPr>
      <w:r w:rsidRPr="006F2164">
        <w:rPr>
          <w:rFonts w:ascii="Arial" w:eastAsia="Times New Roman" w:hAnsi="Arial" w:cs="Arial"/>
          <w:color w:val="201F1E"/>
          <w:sz w:val="24"/>
          <w:szCs w:val="24"/>
          <w:lang w:eastAsia="en-AG"/>
        </w:rPr>
        <w:t xml:space="preserve">During the summer month, the Antigua and Barbuda Hotels and Tourism Association reported occupancies of 63% across a sample of their hotel members. </w:t>
      </w:r>
    </w:p>
    <w:p w14:paraId="229C7D81" w14:textId="2BF262A2" w:rsidR="00432284" w:rsidRPr="006F2164" w:rsidRDefault="001834AC" w:rsidP="006F2164">
      <w:pPr>
        <w:spacing w:line="360" w:lineRule="auto"/>
        <w:jc w:val="both"/>
        <w:rPr>
          <w:rFonts w:ascii="Arial" w:eastAsia="Times New Roman" w:hAnsi="Arial" w:cs="Arial"/>
          <w:color w:val="201F1E"/>
          <w:sz w:val="24"/>
          <w:szCs w:val="24"/>
          <w:lang w:eastAsia="en-AG"/>
        </w:rPr>
      </w:pPr>
      <w:r w:rsidRPr="006F2164">
        <w:rPr>
          <w:rFonts w:ascii="Arial" w:eastAsia="Times New Roman" w:hAnsi="Arial" w:cs="Arial"/>
          <w:color w:val="201F1E"/>
          <w:sz w:val="24"/>
          <w:szCs w:val="24"/>
          <w:lang w:eastAsia="en-AG"/>
        </w:rPr>
        <w:t xml:space="preserve">In July, </w:t>
      </w:r>
      <w:r w:rsidR="00432284" w:rsidRPr="006F2164">
        <w:rPr>
          <w:rFonts w:ascii="Arial" w:eastAsia="Times New Roman" w:hAnsi="Arial" w:cs="Arial"/>
          <w:color w:val="201F1E"/>
          <w:sz w:val="24"/>
          <w:szCs w:val="24"/>
          <w:lang w:eastAsia="en-AG"/>
        </w:rPr>
        <w:t xml:space="preserve">9678 of visitors stayed at hotels, while 11, 487 patronized Guest Houses and </w:t>
      </w:r>
      <w:r w:rsidRPr="006F2164">
        <w:rPr>
          <w:rFonts w:ascii="Arial" w:eastAsia="Times New Roman" w:hAnsi="Arial" w:cs="Arial"/>
          <w:color w:val="201F1E"/>
          <w:sz w:val="24"/>
          <w:szCs w:val="24"/>
          <w:lang w:eastAsia="en-AG"/>
        </w:rPr>
        <w:t>Apartments/</w:t>
      </w:r>
      <w:r w:rsidR="00432284" w:rsidRPr="006F2164">
        <w:rPr>
          <w:rFonts w:ascii="Arial" w:eastAsia="Times New Roman" w:hAnsi="Arial" w:cs="Arial"/>
          <w:color w:val="201F1E"/>
          <w:sz w:val="24"/>
          <w:szCs w:val="24"/>
          <w:lang w:eastAsia="en-AG"/>
        </w:rPr>
        <w:t xml:space="preserve">Villas.  </w:t>
      </w:r>
    </w:p>
    <w:p w14:paraId="7012C5D4" w14:textId="1F31E503" w:rsidR="000E5EA1" w:rsidRPr="006F2164" w:rsidRDefault="000E5EA1" w:rsidP="006F2164">
      <w:pPr>
        <w:spacing w:line="360" w:lineRule="auto"/>
        <w:jc w:val="both"/>
        <w:rPr>
          <w:rFonts w:ascii="Arial" w:eastAsia="Century Gothic" w:hAnsi="Arial" w:cs="Arial"/>
          <w:sz w:val="24"/>
          <w:szCs w:val="24"/>
        </w:rPr>
      </w:pPr>
      <w:r w:rsidRPr="006F2164">
        <w:rPr>
          <w:rFonts w:ascii="Arial" w:eastAsia="Century Gothic" w:hAnsi="Arial" w:cs="Arial"/>
          <w:sz w:val="24"/>
          <w:szCs w:val="24"/>
        </w:rPr>
        <w:t>The Antigua and Barbuda Tourism Authority is attributing the</w:t>
      </w:r>
      <w:r w:rsidR="0096599A" w:rsidRPr="006F2164">
        <w:rPr>
          <w:rFonts w:ascii="Arial" w:eastAsia="Century Gothic" w:hAnsi="Arial" w:cs="Arial"/>
          <w:sz w:val="24"/>
          <w:szCs w:val="24"/>
        </w:rPr>
        <w:t xml:space="preserve"> 7%</w:t>
      </w:r>
      <w:r w:rsidRPr="006F2164">
        <w:rPr>
          <w:rFonts w:ascii="Arial" w:eastAsia="Century Gothic" w:hAnsi="Arial" w:cs="Arial"/>
          <w:sz w:val="24"/>
          <w:szCs w:val="24"/>
        </w:rPr>
        <w:t xml:space="preserve"> growth in </w:t>
      </w:r>
      <w:r w:rsidR="001834AC" w:rsidRPr="006F2164">
        <w:rPr>
          <w:rFonts w:ascii="Arial" w:eastAsia="Century Gothic" w:hAnsi="Arial" w:cs="Arial"/>
          <w:sz w:val="24"/>
          <w:szCs w:val="24"/>
        </w:rPr>
        <w:t xml:space="preserve">air </w:t>
      </w:r>
      <w:r w:rsidRPr="006F2164">
        <w:rPr>
          <w:rFonts w:ascii="Arial" w:eastAsia="Century Gothic" w:hAnsi="Arial" w:cs="Arial"/>
          <w:sz w:val="24"/>
          <w:szCs w:val="24"/>
        </w:rPr>
        <w:t xml:space="preserve">arrivals </w:t>
      </w:r>
      <w:r w:rsidR="006F2164">
        <w:rPr>
          <w:rFonts w:ascii="Arial" w:eastAsia="Century Gothic" w:hAnsi="Arial" w:cs="Arial"/>
          <w:sz w:val="24"/>
          <w:szCs w:val="24"/>
        </w:rPr>
        <w:t xml:space="preserve">for the month July 2022, when compared to July 2019, </w:t>
      </w:r>
      <w:r w:rsidRPr="006F2164">
        <w:rPr>
          <w:rFonts w:ascii="Arial" w:eastAsia="Century Gothic" w:hAnsi="Arial" w:cs="Arial"/>
          <w:sz w:val="24"/>
          <w:szCs w:val="24"/>
        </w:rPr>
        <w:t xml:space="preserve">to increased airlift, aggressive destination marketing, </w:t>
      </w:r>
      <w:r w:rsidR="00772AE3">
        <w:rPr>
          <w:rFonts w:ascii="Arial" w:eastAsia="Century Gothic" w:hAnsi="Arial" w:cs="Arial"/>
          <w:sz w:val="24"/>
          <w:szCs w:val="24"/>
        </w:rPr>
        <w:t xml:space="preserve">easy travel protocols, </w:t>
      </w:r>
      <w:r w:rsidR="009E5839" w:rsidRPr="006F2164">
        <w:rPr>
          <w:rFonts w:ascii="Arial" w:eastAsia="Century Gothic" w:hAnsi="Arial" w:cs="Arial"/>
          <w:sz w:val="24"/>
          <w:szCs w:val="24"/>
        </w:rPr>
        <w:t>the enthusiasm amongst consumers to return to travel</w:t>
      </w:r>
      <w:r w:rsidR="000756FC" w:rsidRPr="006F2164">
        <w:rPr>
          <w:rFonts w:ascii="Arial" w:eastAsia="Century Gothic" w:hAnsi="Arial" w:cs="Arial"/>
          <w:sz w:val="24"/>
          <w:szCs w:val="24"/>
        </w:rPr>
        <w:t xml:space="preserve">, </w:t>
      </w:r>
      <w:r w:rsidRPr="006F2164">
        <w:rPr>
          <w:rFonts w:ascii="Arial" w:eastAsia="Century Gothic" w:hAnsi="Arial" w:cs="Arial"/>
          <w:sz w:val="24"/>
          <w:szCs w:val="24"/>
        </w:rPr>
        <w:t>and the</w:t>
      </w:r>
      <w:r w:rsidR="009E5839" w:rsidRPr="006F2164">
        <w:rPr>
          <w:rFonts w:ascii="Arial" w:eastAsia="Century Gothic" w:hAnsi="Arial" w:cs="Arial"/>
          <w:sz w:val="24"/>
          <w:szCs w:val="24"/>
        </w:rPr>
        <w:t>ir</w:t>
      </w:r>
      <w:r w:rsidRPr="006F2164">
        <w:rPr>
          <w:rFonts w:ascii="Arial" w:eastAsia="Century Gothic" w:hAnsi="Arial" w:cs="Arial"/>
          <w:sz w:val="24"/>
          <w:szCs w:val="24"/>
        </w:rPr>
        <w:t xml:space="preserve"> </w:t>
      </w:r>
      <w:r w:rsidR="009E5839" w:rsidRPr="006F2164">
        <w:rPr>
          <w:rFonts w:ascii="Arial" w:eastAsia="Century Gothic" w:hAnsi="Arial" w:cs="Arial"/>
          <w:sz w:val="24"/>
          <w:szCs w:val="24"/>
        </w:rPr>
        <w:t xml:space="preserve">eagerness to </w:t>
      </w:r>
      <w:proofErr w:type="gramStart"/>
      <w:r w:rsidR="009E5839" w:rsidRPr="006F2164">
        <w:rPr>
          <w:rFonts w:ascii="Arial" w:eastAsia="Century Gothic" w:hAnsi="Arial" w:cs="Arial"/>
          <w:sz w:val="24"/>
          <w:szCs w:val="24"/>
        </w:rPr>
        <w:t>once again participate in</w:t>
      </w:r>
      <w:r w:rsidRPr="006F2164">
        <w:rPr>
          <w:rFonts w:ascii="Arial" w:eastAsia="Century Gothic" w:hAnsi="Arial" w:cs="Arial"/>
          <w:sz w:val="24"/>
          <w:szCs w:val="24"/>
        </w:rPr>
        <w:t xml:space="preserve"> Antigua’s summer carnival</w:t>
      </w:r>
      <w:proofErr w:type="gramEnd"/>
      <w:r w:rsidRPr="006F2164">
        <w:rPr>
          <w:rFonts w:ascii="Arial" w:eastAsia="Century Gothic" w:hAnsi="Arial" w:cs="Arial"/>
          <w:sz w:val="24"/>
          <w:szCs w:val="24"/>
        </w:rPr>
        <w:t xml:space="preserve">. </w:t>
      </w:r>
    </w:p>
    <w:p w14:paraId="70EB3DAB" w14:textId="77777777" w:rsidR="00755D22" w:rsidRDefault="00C24F5C" w:rsidP="006F2164">
      <w:pPr>
        <w:spacing w:line="360" w:lineRule="auto"/>
        <w:jc w:val="both"/>
        <w:rPr>
          <w:rFonts w:ascii="Arial" w:eastAsia="Times New Roman" w:hAnsi="Arial" w:cs="Arial"/>
          <w:color w:val="201F1E"/>
          <w:sz w:val="24"/>
          <w:szCs w:val="24"/>
          <w:lang w:eastAsia="en-AG"/>
        </w:rPr>
      </w:pPr>
      <w:r w:rsidRPr="006F2164">
        <w:rPr>
          <w:rFonts w:ascii="Arial" w:eastAsia="Century Gothic" w:hAnsi="Arial" w:cs="Arial"/>
          <w:sz w:val="24"/>
          <w:szCs w:val="24"/>
        </w:rPr>
        <w:t xml:space="preserve">CEO of the Antigua and Barbuda Tourism Authority, Colin C. James said: </w:t>
      </w:r>
      <w:r w:rsidR="00E3139D" w:rsidRPr="006F2164">
        <w:rPr>
          <w:rFonts w:ascii="Arial" w:eastAsia="Century Gothic" w:hAnsi="Arial" w:cs="Arial"/>
          <w:sz w:val="24"/>
          <w:szCs w:val="24"/>
        </w:rPr>
        <w:t>“</w:t>
      </w:r>
      <w:r w:rsidRPr="006F2164">
        <w:rPr>
          <w:rFonts w:ascii="Arial" w:eastAsia="Times New Roman" w:hAnsi="Arial" w:cs="Arial"/>
          <w:color w:val="201F1E"/>
          <w:sz w:val="24"/>
          <w:szCs w:val="24"/>
          <w:lang w:eastAsia="en-AG"/>
        </w:rPr>
        <w:t>Antigua and Barbuda</w:t>
      </w:r>
      <w:r w:rsidR="00432284" w:rsidRPr="006F2164">
        <w:rPr>
          <w:rFonts w:ascii="Arial" w:eastAsia="Times New Roman" w:hAnsi="Arial" w:cs="Arial"/>
          <w:color w:val="201F1E"/>
          <w:sz w:val="24"/>
          <w:szCs w:val="24"/>
          <w:lang w:eastAsia="en-AG"/>
        </w:rPr>
        <w:t xml:space="preserve"> </w:t>
      </w:r>
      <w:proofErr w:type="gramStart"/>
      <w:r w:rsidR="00432284" w:rsidRPr="006F2164">
        <w:rPr>
          <w:rFonts w:ascii="Arial" w:eastAsia="Times New Roman" w:hAnsi="Arial" w:cs="Arial"/>
          <w:color w:val="201F1E"/>
          <w:sz w:val="24"/>
          <w:szCs w:val="24"/>
          <w:lang w:eastAsia="en-AG"/>
        </w:rPr>
        <w:t>is</w:t>
      </w:r>
      <w:proofErr w:type="gramEnd"/>
      <w:r w:rsidRPr="006F2164">
        <w:rPr>
          <w:rFonts w:ascii="Arial" w:eastAsia="Times New Roman" w:hAnsi="Arial" w:cs="Arial"/>
          <w:color w:val="201F1E"/>
          <w:sz w:val="24"/>
          <w:szCs w:val="24"/>
          <w:lang w:eastAsia="en-AG"/>
        </w:rPr>
        <w:t xml:space="preserve"> </w:t>
      </w:r>
      <w:r w:rsidR="0096599A" w:rsidRPr="006F2164">
        <w:rPr>
          <w:rFonts w:ascii="Arial" w:eastAsia="Times New Roman" w:hAnsi="Arial" w:cs="Arial"/>
          <w:color w:val="201F1E"/>
          <w:sz w:val="24"/>
          <w:szCs w:val="24"/>
          <w:lang w:eastAsia="en-AG"/>
        </w:rPr>
        <w:t xml:space="preserve">presently </w:t>
      </w:r>
      <w:r w:rsidR="00CA2376" w:rsidRPr="006F2164">
        <w:rPr>
          <w:rFonts w:ascii="Arial" w:eastAsia="Times New Roman" w:hAnsi="Arial" w:cs="Arial"/>
          <w:color w:val="201F1E"/>
          <w:sz w:val="24"/>
          <w:szCs w:val="24"/>
          <w:lang w:eastAsia="en-AG"/>
        </w:rPr>
        <w:t>listed amongst the</w:t>
      </w:r>
      <w:r w:rsidR="00E3139D" w:rsidRPr="006F2164">
        <w:rPr>
          <w:rFonts w:ascii="Arial" w:eastAsia="Times New Roman" w:hAnsi="Arial" w:cs="Arial"/>
          <w:color w:val="201F1E"/>
          <w:sz w:val="24"/>
          <w:szCs w:val="24"/>
          <w:lang w:eastAsia="en-AG"/>
        </w:rPr>
        <w:t xml:space="preserve"> </w:t>
      </w:r>
      <w:r w:rsidRPr="00C24F5C">
        <w:rPr>
          <w:rFonts w:ascii="Arial" w:eastAsia="Times New Roman" w:hAnsi="Arial" w:cs="Arial"/>
          <w:color w:val="201F1E"/>
          <w:sz w:val="24"/>
          <w:szCs w:val="24"/>
          <w:lang w:val="en-AG" w:eastAsia="en-AG"/>
        </w:rPr>
        <w:t xml:space="preserve">top </w:t>
      </w:r>
      <w:r w:rsidR="009E5839" w:rsidRPr="006F2164">
        <w:rPr>
          <w:rFonts w:ascii="Arial" w:eastAsia="Times New Roman" w:hAnsi="Arial" w:cs="Arial"/>
          <w:color w:val="201F1E"/>
          <w:sz w:val="24"/>
          <w:szCs w:val="24"/>
          <w:lang w:eastAsia="en-AG"/>
        </w:rPr>
        <w:t xml:space="preserve">ten </w:t>
      </w:r>
      <w:r w:rsidR="00CA2376" w:rsidRPr="006F2164">
        <w:rPr>
          <w:rFonts w:ascii="Arial" w:eastAsia="Times New Roman" w:hAnsi="Arial" w:cs="Arial"/>
          <w:color w:val="201F1E"/>
          <w:sz w:val="24"/>
          <w:szCs w:val="24"/>
          <w:lang w:eastAsia="en-AG"/>
        </w:rPr>
        <w:t>Caribbean</w:t>
      </w:r>
      <w:r w:rsidR="009E5839" w:rsidRPr="006F2164">
        <w:rPr>
          <w:rFonts w:ascii="Arial" w:eastAsia="Times New Roman" w:hAnsi="Arial" w:cs="Arial"/>
          <w:color w:val="201F1E"/>
          <w:sz w:val="24"/>
          <w:szCs w:val="24"/>
          <w:lang w:eastAsia="en-AG"/>
        </w:rPr>
        <w:t xml:space="preserve"> destination</w:t>
      </w:r>
      <w:r w:rsidR="00CA2376" w:rsidRPr="006F2164">
        <w:rPr>
          <w:rFonts w:ascii="Arial" w:eastAsia="Times New Roman" w:hAnsi="Arial" w:cs="Arial"/>
          <w:color w:val="201F1E"/>
          <w:sz w:val="24"/>
          <w:szCs w:val="24"/>
          <w:lang w:eastAsia="en-AG"/>
        </w:rPr>
        <w:t>s leading the Caribbean tourism recovery efforts</w:t>
      </w:r>
      <w:r w:rsidRPr="00C24F5C">
        <w:rPr>
          <w:rFonts w:ascii="Arial" w:eastAsia="Times New Roman" w:hAnsi="Arial" w:cs="Arial"/>
          <w:color w:val="201F1E"/>
          <w:sz w:val="24"/>
          <w:szCs w:val="24"/>
          <w:lang w:val="en-AG" w:eastAsia="en-AG"/>
        </w:rPr>
        <w:t>.</w:t>
      </w:r>
      <w:r w:rsidR="00432284" w:rsidRPr="006F2164">
        <w:rPr>
          <w:rFonts w:ascii="Arial" w:eastAsia="Times New Roman" w:hAnsi="Arial" w:cs="Arial"/>
          <w:color w:val="201F1E"/>
          <w:sz w:val="24"/>
          <w:szCs w:val="24"/>
          <w:lang w:eastAsia="en-AG"/>
        </w:rPr>
        <w:t xml:space="preserve"> </w:t>
      </w:r>
    </w:p>
    <w:p w14:paraId="5096E198" w14:textId="0A55B1DD" w:rsidR="006F2164" w:rsidRPr="006F2164" w:rsidRDefault="00755D22" w:rsidP="006F2164">
      <w:pPr>
        <w:spacing w:line="360" w:lineRule="auto"/>
        <w:jc w:val="both"/>
        <w:rPr>
          <w:rFonts w:ascii="Arial" w:eastAsia="Times New Roman" w:hAnsi="Arial" w:cs="Arial"/>
          <w:color w:val="201F1E"/>
          <w:sz w:val="24"/>
          <w:szCs w:val="24"/>
          <w:lang w:eastAsia="en-AG"/>
        </w:rPr>
      </w:pPr>
      <w:r>
        <w:rPr>
          <w:rFonts w:ascii="Arial" w:eastAsia="Times New Roman" w:hAnsi="Arial" w:cs="Arial"/>
          <w:color w:val="201F1E"/>
          <w:sz w:val="24"/>
          <w:szCs w:val="24"/>
          <w:lang w:eastAsia="en-AG"/>
        </w:rPr>
        <w:t>“</w:t>
      </w:r>
      <w:r w:rsidR="006F2164" w:rsidRPr="006F2164">
        <w:rPr>
          <w:rFonts w:ascii="Arial" w:eastAsia="Times New Roman" w:hAnsi="Arial" w:cs="Arial"/>
          <w:color w:val="201F1E"/>
          <w:sz w:val="24"/>
          <w:szCs w:val="24"/>
          <w:lang w:eastAsia="en-AG"/>
        </w:rPr>
        <w:t xml:space="preserve">With </w:t>
      </w:r>
      <w:r w:rsidR="006F2164">
        <w:rPr>
          <w:rFonts w:ascii="Arial" w:eastAsia="Times New Roman" w:hAnsi="Arial" w:cs="Arial"/>
          <w:color w:val="201F1E"/>
          <w:sz w:val="24"/>
          <w:szCs w:val="24"/>
          <w:lang w:eastAsia="en-AG"/>
        </w:rPr>
        <w:t xml:space="preserve">good month-on-month growth and </w:t>
      </w:r>
      <w:r w:rsidR="006F2164" w:rsidRPr="006F2164">
        <w:rPr>
          <w:rFonts w:ascii="Arial" w:eastAsia="Times New Roman" w:hAnsi="Arial" w:cs="Arial"/>
          <w:color w:val="201F1E"/>
          <w:sz w:val="24"/>
          <w:szCs w:val="24"/>
          <w:lang w:eastAsia="en-AG"/>
        </w:rPr>
        <w:t>our overall tourism arrivals for the year to date only 16% less than the 2019 figures, Antigua and Barbuda</w:t>
      </w:r>
      <w:r>
        <w:rPr>
          <w:rFonts w:ascii="Arial" w:eastAsia="Times New Roman" w:hAnsi="Arial" w:cs="Arial"/>
          <w:color w:val="201F1E"/>
          <w:sz w:val="24"/>
          <w:szCs w:val="24"/>
          <w:lang w:eastAsia="en-AG"/>
        </w:rPr>
        <w:t>’s tourism rebound prospects are looking positive, particularly</w:t>
      </w:r>
      <w:r w:rsidR="006F2164" w:rsidRPr="006F2164">
        <w:rPr>
          <w:rFonts w:ascii="Arial" w:eastAsia="Times New Roman" w:hAnsi="Arial" w:cs="Arial"/>
          <w:color w:val="201F1E"/>
          <w:sz w:val="24"/>
          <w:szCs w:val="24"/>
          <w:lang w:eastAsia="en-AG"/>
        </w:rPr>
        <w:t xml:space="preserve"> when we consider global tourism forecasts. </w:t>
      </w:r>
    </w:p>
    <w:p w14:paraId="51779042" w14:textId="021F9017" w:rsidR="00C24F5C" w:rsidRPr="006F2164" w:rsidRDefault="001834AC" w:rsidP="006F2164">
      <w:pPr>
        <w:spacing w:line="360" w:lineRule="auto"/>
        <w:jc w:val="both"/>
        <w:rPr>
          <w:rFonts w:ascii="Arial" w:eastAsia="Times New Roman" w:hAnsi="Arial" w:cs="Arial"/>
          <w:color w:val="201F1E"/>
          <w:sz w:val="24"/>
          <w:szCs w:val="24"/>
          <w:lang w:eastAsia="en-AG"/>
        </w:rPr>
      </w:pPr>
      <w:r w:rsidRPr="006F2164">
        <w:rPr>
          <w:rFonts w:ascii="Arial" w:eastAsia="Times New Roman" w:hAnsi="Arial" w:cs="Arial"/>
          <w:color w:val="201F1E"/>
          <w:sz w:val="24"/>
          <w:szCs w:val="24"/>
          <w:lang w:eastAsia="en-AG"/>
        </w:rPr>
        <w:t>For</w:t>
      </w:r>
      <w:r w:rsidR="00794852" w:rsidRPr="006F2164">
        <w:rPr>
          <w:rFonts w:ascii="Arial" w:eastAsia="Times New Roman" w:hAnsi="Arial" w:cs="Arial"/>
          <w:color w:val="201F1E"/>
          <w:sz w:val="24"/>
          <w:szCs w:val="24"/>
          <w:lang w:eastAsia="en-AG"/>
        </w:rPr>
        <w:t xml:space="preserve"> the Fall, our teams will </w:t>
      </w:r>
      <w:r w:rsidR="00F53A6D">
        <w:rPr>
          <w:rFonts w:ascii="Arial" w:eastAsia="Times New Roman" w:hAnsi="Arial" w:cs="Arial"/>
          <w:color w:val="201F1E"/>
          <w:sz w:val="24"/>
          <w:szCs w:val="24"/>
          <w:lang w:eastAsia="en-AG"/>
        </w:rPr>
        <w:t xml:space="preserve">continue to </w:t>
      </w:r>
      <w:r w:rsidR="00794852" w:rsidRPr="006F2164">
        <w:rPr>
          <w:rFonts w:ascii="Arial" w:eastAsia="Times New Roman" w:hAnsi="Arial" w:cs="Arial"/>
          <w:color w:val="201F1E"/>
          <w:sz w:val="24"/>
          <w:szCs w:val="24"/>
          <w:lang w:eastAsia="en-AG"/>
        </w:rPr>
        <w:t>focus on closing the gap</w:t>
      </w:r>
      <w:r w:rsidRPr="006F2164">
        <w:rPr>
          <w:rFonts w:ascii="Arial" w:eastAsia="Times New Roman" w:hAnsi="Arial" w:cs="Arial"/>
          <w:color w:val="201F1E"/>
          <w:sz w:val="24"/>
          <w:szCs w:val="24"/>
          <w:lang w:eastAsia="en-AG"/>
        </w:rPr>
        <w:t xml:space="preserve"> </w:t>
      </w:r>
      <w:r w:rsidR="00794852" w:rsidRPr="006F2164">
        <w:rPr>
          <w:rFonts w:ascii="Arial" w:eastAsia="Times New Roman" w:hAnsi="Arial" w:cs="Arial"/>
          <w:color w:val="201F1E"/>
          <w:sz w:val="24"/>
          <w:szCs w:val="24"/>
          <w:lang w:eastAsia="en-AG"/>
        </w:rPr>
        <w:t xml:space="preserve">and achieving full </w:t>
      </w:r>
      <w:r w:rsidR="00C24F5C" w:rsidRPr="00C24F5C">
        <w:rPr>
          <w:rFonts w:ascii="Arial" w:eastAsia="Times New Roman" w:hAnsi="Arial" w:cs="Arial"/>
          <w:color w:val="201F1E"/>
          <w:sz w:val="24"/>
          <w:szCs w:val="24"/>
          <w:lang w:val="en-AG" w:eastAsia="en-AG"/>
        </w:rPr>
        <w:t>recovery</w:t>
      </w:r>
      <w:r w:rsidRPr="006F2164">
        <w:rPr>
          <w:rFonts w:ascii="Arial" w:eastAsia="Times New Roman" w:hAnsi="Arial" w:cs="Arial"/>
          <w:color w:val="201F1E"/>
          <w:sz w:val="24"/>
          <w:szCs w:val="24"/>
          <w:lang w:eastAsia="en-AG"/>
        </w:rPr>
        <w:t>”</w:t>
      </w:r>
      <w:r w:rsidR="00755D22">
        <w:rPr>
          <w:rFonts w:ascii="Arial" w:eastAsia="Times New Roman" w:hAnsi="Arial" w:cs="Arial"/>
          <w:color w:val="201F1E"/>
          <w:sz w:val="24"/>
          <w:szCs w:val="24"/>
          <w:lang w:eastAsia="en-AG"/>
        </w:rPr>
        <w:t xml:space="preserve">, James said. </w:t>
      </w:r>
    </w:p>
    <w:p w14:paraId="421505EF" w14:textId="3F56B6E7" w:rsidR="00432284" w:rsidRPr="006F2164" w:rsidRDefault="0096599A" w:rsidP="006F2164">
      <w:pPr>
        <w:spacing w:line="360" w:lineRule="auto"/>
        <w:jc w:val="both"/>
        <w:rPr>
          <w:rFonts w:ascii="Arial" w:eastAsia="Century Gothic" w:hAnsi="Arial" w:cs="Arial"/>
          <w:sz w:val="24"/>
          <w:szCs w:val="24"/>
        </w:rPr>
      </w:pPr>
      <w:r w:rsidRPr="006F2164">
        <w:rPr>
          <w:rFonts w:ascii="Arial" w:eastAsia="Century Gothic" w:hAnsi="Arial" w:cs="Arial"/>
          <w:sz w:val="24"/>
          <w:szCs w:val="24"/>
        </w:rPr>
        <w:t xml:space="preserve">Overall, </w:t>
      </w:r>
      <w:r w:rsidR="00E73F29" w:rsidRPr="006F2164">
        <w:rPr>
          <w:rFonts w:ascii="Arial" w:eastAsia="Century Gothic" w:hAnsi="Arial" w:cs="Arial"/>
          <w:sz w:val="24"/>
          <w:szCs w:val="24"/>
        </w:rPr>
        <w:t>total stayover arrivals for the period January – July 2022 (YTD)</w:t>
      </w:r>
      <w:r w:rsidR="00432284" w:rsidRPr="006F2164">
        <w:rPr>
          <w:rFonts w:ascii="Arial" w:eastAsia="Century Gothic" w:hAnsi="Arial" w:cs="Arial"/>
          <w:sz w:val="24"/>
          <w:szCs w:val="24"/>
        </w:rPr>
        <w:t xml:space="preserve">, stand at 154, 099. This is a </w:t>
      </w:r>
      <w:r w:rsidR="00E73F29" w:rsidRPr="006F2164">
        <w:rPr>
          <w:rFonts w:ascii="Arial" w:eastAsia="Century Gothic" w:hAnsi="Arial" w:cs="Arial"/>
          <w:sz w:val="24"/>
          <w:szCs w:val="24"/>
        </w:rPr>
        <w:t xml:space="preserve">91% </w:t>
      </w:r>
      <w:r w:rsidR="00432284" w:rsidRPr="006F2164">
        <w:rPr>
          <w:rFonts w:ascii="Arial" w:eastAsia="Century Gothic" w:hAnsi="Arial" w:cs="Arial"/>
          <w:sz w:val="24"/>
          <w:szCs w:val="24"/>
        </w:rPr>
        <w:t xml:space="preserve">increase over </w:t>
      </w:r>
      <w:r w:rsidR="00E73F29" w:rsidRPr="006F2164">
        <w:rPr>
          <w:rFonts w:ascii="Arial" w:eastAsia="Century Gothic" w:hAnsi="Arial" w:cs="Arial"/>
          <w:sz w:val="24"/>
          <w:szCs w:val="24"/>
        </w:rPr>
        <w:t xml:space="preserve">the </w:t>
      </w:r>
      <w:r w:rsidR="00432284" w:rsidRPr="006F2164">
        <w:rPr>
          <w:rFonts w:ascii="Arial" w:eastAsia="Century Gothic" w:hAnsi="Arial" w:cs="Arial"/>
          <w:sz w:val="24"/>
          <w:szCs w:val="24"/>
        </w:rPr>
        <w:t xml:space="preserve">2021 </w:t>
      </w:r>
      <w:r w:rsidR="00E73F29" w:rsidRPr="006F2164">
        <w:rPr>
          <w:rFonts w:ascii="Arial" w:eastAsia="Century Gothic" w:hAnsi="Arial" w:cs="Arial"/>
          <w:sz w:val="24"/>
          <w:szCs w:val="24"/>
        </w:rPr>
        <w:t>comparison</w:t>
      </w:r>
      <w:r w:rsidRPr="006F2164">
        <w:rPr>
          <w:rFonts w:ascii="Arial" w:eastAsia="Century Gothic" w:hAnsi="Arial" w:cs="Arial"/>
          <w:sz w:val="24"/>
          <w:szCs w:val="24"/>
        </w:rPr>
        <w:t xml:space="preserve"> of </w:t>
      </w:r>
      <w:r w:rsidR="00E73F29" w:rsidRPr="006F2164">
        <w:rPr>
          <w:rFonts w:ascii="Arial" w:eastAsia="Times New Roman" w:hAnsi="Arial" w:cs="Arial"/>
          <w:color w:val="000000"/>
          <w:sz w:val="24"/>
          <w:szCs w:val="24"/>
          <w:lang w:val="en-AG" w:eastAsia="en-AG"/>
        </w:rPr>
        <w:t xml:space="preserve">80,509 </w:t>
      </w:r>
      <w:r w:rsidR="00432284" w:rsidRPr="006F2164">
        <w:rPr>
          <w:rFonts w:ascii="Arial" w:eastAsia="Century Gothic" w:hAnsi="Arial" w:cs="Arial"/>
          <w:sz w:val="24"/>
          <w:szCs w:val="24"/>
        </w:rPr>
        <w:t xml:space="preserve">and a 16% narrowing of the gap </w:t>
      </w:r>
      <w:r w:rsidR="00E73F29" w:rsidRPr="006F2164">
        <w:rPr>
          <w:rFonts w:ascii="Arial" w:eastAsia="Century Gothic" w:hAnsi="Arial" w:cs="Arial"/>
          <w:sz w:val="24"/>
          <w:szCs w:val="24"/>
        </w:rPr>
        <w:t xml:space="preserve">of the 2019 January – July totals that stood at </w:t>
      </w:r>
      <w:r w:rsidR="00432284" w:rsidRPr="006F2164">
        <w:rPr>
          <w:rFonts w:ascii="Arial" w:eastAsia="Century Gothic" w:hAnsi="Arial" w:cs="Arial"/>
          <w:sz w:val="24"/>
          <w:szCs w:val="24"/>
        </w:rPr>
        <w:t xml:space="preserve">184,465. </w:t>
      </w:r>
    </w:p>
    <w:p w14:paraId="4154300A" w14:textId="65283925" w:rsidR="00A8111D" w:rsidRDefault="00A8111D" w:rsidP="00A8111D">
      <w:pPr>
        <w:spacing w:after="0" w:line="360" w:lineRule="auto"/>
        <w:jc w:val="both"/>
        <w:rPr>
          <w:rFonts w:ascii="Arial" w:eastAsia="Times New Roman" w:hAnsi="Arial" w:cs="Arial"/>
          <w:color w:val="323130"/>
          <w:sz w:val="24"/>
          <w:szCs w:val="24"/>
        </w:rPr>
      </w:pPr>
    </w:p>
    <w:p w14:paraId="53252645" w14:textId="5339F923" w:rsidR="00786AED" w:rsidRDefault="00786AED" w:rsidP="00A8111D">
      <w:pPr>
        <w:spacing w:after="0" w:line="360" w:lineRule="auto"/>
        <w:jc w:val="both"/>
        <w:rPr>
          <w:rFonts w:ascii="Arial" w:eastAsia="Times New Roman" w:hAnsi="Arial" w:cs="Arial"/>
          <w:color w:val="323130"/>
          <w:sz w:val="24"/>
          <w:szCs w:val="24"/>
        </w:rPr>
      </w:pPr>
    </w:p>
    <w:p w14:paraId="751E5637" w14:textId="77777777" w:rsidR="00C67DE6" w:rsidRPr="00A8111D" w:rsidRDefault="00C67DE6" w:rsidP="00124044">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3588654F" w14:textId="17B8D18E" w:rsidR="00AD0080" w:rsidRPr="00A8111D" w:rsidRDefault="00AD0080" w:rsidP="00BA16A0">
      <w:pPr>
        <w:shd w:val="clear" w:color="auto" w:fill="FFFFFF"/>
        <w:spacing w:after="0" w:line="360" w:lineRule="auto"/>
        <w:jc w:val="center"/>
        <w:textAlignment w:val="baseline"/>
        <w:rPr>
          <w:rFonts w:ascii="Arial" w:eastAsia="Times New Roman" w:hAnsi="Arial" w:cs="Arial"/>
          <w:bdr w:val="none" w:sz="0" w:space="0" w:color="auto" w:frame="1"/>
        </w:rPr>
      </w:pPr>
      <w:r w:rsidRPr="00A8111D">
        <w:rPr>
          <w:rFonts w:ascii="Arial" w:eastAsia="Times New Roman" w:hAnsi="Arial" w:cs="Arial"/>
          <w:bdr w:val="none" w:sz="0" w:space="0" w:color="auto" w:frame="1"/>
        </w:rPr>
        <w:lastRenderedPageBreak/>
        <w:t>###</w:t>
      </w:r>
    </w:p>
    <w:p w14:paraId="1E9A5F2D" w14:textId="77777777" w:rsidR="00AD0080" w:rsidRPr="00A8111D" w:rsidRDefault="00AD0080" w:rsidP="00AD0080">
      <w:pPr>
        <w:spacing w:line="264" w:lineRule="atLeast"/>
        <w:jc w:val="both"/>
        <w:rPr>
          <w:rFonts w:ascii="Arial" w:eastAsia="Times New Roman" w:hAnsi="Arial" w:cs="Arial"/>
          <w:color w:val="000000"/>
          <w:sz w:val="18"/>
          <w:szCs w:val="18"/>
          <w:lang w:eastAsia="en-GB"/>
        </w:rPr>
      </w:pPr>
      <w:r w:rsidRPr="00A8111D">
        <w:rPr>
          <w:rFonts w:ascii="Arial" w:eastAsia="Times New Roman" w:hAnsi="Arial" w:cs="Arial"/>
          <w:b/>
          <w:bCs/>
          <w:color w:val="000000"/>
          <w:sz w:val="18"/>
          <w:szCs w:val="18"/>
          <w:bdr w:val="none" w:sz="0" w:space="0" w:color="auto" w:frame="1"/>
          <w:shd w:val="clear" w:color="auto" w:fill="FFFFFF"/>
          <w:lang w:val="en-GB" w:eastAsia="en-GB"/>
        </w:rPr>
        <w:t>ABOUT THE ANTIGUA AND BARBUDA TOURISM AUTHORITY  </w:t>
      </w:r>
    </w:p>
    <w:p w14:paraId="2341F99F" w14:textId="77777777" w:rsidR="00AD0080" w:rsidRPr="00A8111D" w:rsidRDefault="00AD0080" w:rsidP="00AD0080">
      <w:pPr>
        <w:spacing w:line="264" w:lineRule="atLeast"/>
        <w:jc w:val="both"/>
        <w:rPr>
          <w:rFonts w:ascii="Arial" w:eastAsia="Times New Roman" w:hAnsi="Arial" w:cs="Arial"/>
          <w:color w:val="000000"/>
          <w:sz w:val="18"/>
          <w:szCs w:val="18"/>
          <w:bdr w:val="none" w:sz="0" w:space="0" w:color="auto" w:frame="1"/>
          <w:shd w:val="clear" w:color="auto" w:fill="FFFFFF"/>
          <w:lang w:eastAsia="en-GB"/>
        </w:rPr>
      </w:pPr>
      <w:r w:rsidRPr="00A8111D">
        <w:rPr>
          <w:rFonts w:ascii="Arial" w:eastAsia="Times New Roman" w:hAnsi="Arial" w:cs="Arial"/>
          <w:color w:val="000000"/>
          <w:sz w:val="18"/>
          <w:szCs w:val="18"/>
          <w:bdr w:val="none" w:sz="0" w:space="0" w:color="auto" w:frame="1"/>
          <w:shd w:val="clear" w:color="auto" w:fill="FFFFFF"/>
          <w:lang w:eastAsia="en-GB"/>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 </w:t>
      </w:r>
    </w:p>
    <w:p w14:paraId="66C3EB93" w14:textId="5CE0C9FE" w:rsidR="00AD0080" w:rsidRPr="00A8111D" w:rsidRDefault="00AD0080" w:rsidP="00AD0080">
      <w:pPr>
        <w:spacing w:line="264" w:lineRule="atLeast"/>
        <w:jc w:val="both"/>
        <w:rPr>
          <w:rFonts w:ascii="Arial" w:eastAsia="Times New Roman" w:hAnsi="Arial" w:cs="Arial"/>
          <w:color w:val="000000"/>
          <w:sz w:val="18"/>
          <w:szCs w:val="18"/>
          <w:lang w:eastAsia="en-GB"/>
        </w:rPr>
      </w:pPr>
      <w:r w:rsidRPr="00A8111D">
        <w:rPr>
          <w:rFonts w:ascii="Arial" w:eastAsia="Times New Roman" w:hAnsi="Arial" w:cs="Arial"/>
          <w:b/>
          <w:bCs/>
          <w:color w:val="000000"/>
          <w:sz w:val="18"/>
          <w:szCs w:val="18"/>
          <w:bdr w:val="none" w:sz="0" w:space="0" w:color="auto" w:frame="1"/>
          <w:shd w:val="clear" w:color="auto" w:fill="FFFFFF"/>
          <w:lang w:eastAsia="en-GB"/>
        </w:rPr>
        <w:t>ABOUT ANTIGUA AND BARBUDA </w:t>
      </w:r>
    </w:p>
    <w:p w14:paraId="05314A5C" w14:textId="77777777" w:rsidR="00AD0080" w:rsidRPr="00A8111D" w:rsidRDefault="00AD0080" w:rsidP="00AD0080">
      <w:pPr>
        <w:spacing w:line="264" w:lineRule="atLeast"/>
        <w:jc w:val="both"/>
        <w:rPr>
          <w:rFonts w:ascii="Arial" w:eastAsia="Times New Roman" w:hAnsi="Arial" w:cs="Arial"/>
          <w:color w:val="000000"/>
          <w:sz w:val="18"/>
          <w:szCs w:val="18"/>
          <w:lang w:eastAsia="en-GB"/>
        </w:rPr>
      </w:pPr>
      <w:r w:rsidRPr="00A8111D">
        <w:rPr>
          <w:rFonts w:ascii="Arial" w:eastAsia="Times New Roman" w:hAnsi="Arial" w:cs="Arial"/>
          <w:color w:val="000000"/>
          <w:sz w:val="18"/>
          <w:szCs w:val="18"/>
          <w:bdr w:val="none" w:sz="0" w:space="0" w:color="auto" w:frame="1"/>
          <w:shd w:val="clear" w:color="auto" w:fill="FFFFFF"/>
          <w:lang w:eastAsia="en-GB"/>
        </w:rPr>
        <w:t>Antigua (pronounced An-</w:t>
      </w:r>
      <w:proofErr w:type="spellStart"/>
      <w:r w:rsidRPr="00A8111D">
        <w:rPr>
          <w:rFonts w:ascii="Arial" w:eastAsia="Times New Roman" w:hAnsi="Arial" w:cs="Arial"/>
          <w:color w:val="000000"/>
          <w:sz w:val="18"/>
          <w:szCs w:val="18"/>
          <w:bdr w:val="none" w:sz="0" w:space="0" w:color="auto" w:frame="1"/>
          <w:shd w:val="clear" w:color="auto" w:fill="FFFFFF"/>
          <w:lang w:eastAsia="en-GB"/>
        </w:rPr>
        <w:t>tee'ga</w:t>
      </w:r>
      <w:proofErr w:type="spellEnd"/>
      <w:r w:rsidRPr="00A8111D">
        <w:rPr>
          <w:rFonts w:ascii="Arial" w:eastAsia="Times New Roman" w:hAnsi="Arial" w:cs="Arial"/>
          <w:color w:val="000000"/>
          <w:sz w:val="18"/>
          <w:szCs w:val="18"/>
          <w:bdr w:val="none" w:sz="0" w:space="0" w:color="auto" w:frame="1"/>
          <w:shd w:val="clear" w:color="auto" w:fill="FFFFFF"/>
          <w:lang w:eastAsia="en-GB"/>
        </w:rPr>
        <w:t>) and Barbuda (Bar-</w:t>
      </w:r>
      <w:proofErr w:type="spellStart"/>
      <w:r w:rsidRPr="00A8111D">
        <w:rPr>
          <w:rFonts w:ascii="Arial" w:eastAsia="Times New Roman" w:hAnsi="Arial" w:cs="Arial"/>
          <w:color w:val="000000"/>
          <w:sz w:val="18"/>
          <w:szCs w:val="18"/>
          <w:bdr w:val="none" w:sz="0" w:space="0" w:color="auto" w:frame="1"/>
          <w:shd w:val="clear" w:color="auto" w:fill="FFFFFF"/>
          <w:lang w:eastAsia="en-GB"/>
        </w:rPr>
        <w:t>byew’da</w:t>
      </w:r>
      <w:proofErr w:type="spellEnd"/>
      <w:r w:rsidRPr="00A8111D">
        <w:rPr>
          <w:rFonts w:ascii="Arial" w:eastAsia="Times New Roman" w:hAnsi="Arial" w:cs="Arial"/>
          <w:color w:val="000000"/>
          <w:sz w:val="18"/>
          <w:szCs w:val="18"/>
          <w:bdr w:val="none" w:sz="0" w:space="0" w:color="auto" w:frame="1"/>
          <w:shd w:val="clear" w:color="auto" w:fill="FFFFFF"/>
          <w:lang w:eastAsia="en-GB"/>
        </w:rPr>
        <w:t xml:space="preserve">) </w:t>
      </w:r>
      <w:proofErr w:type="gramStart"/>
      <w:r w:rsidRPr="00A8111D">
        <w:rPr>
          <w:rFonts w:ascii="Arial" w:eastAsia="Times New Roman" w:hAnsi="Arial" w:cs="Arial"/>
          <w:color w:val="000000"/>
          <w:sz w:val="18"/>
          <w:szCs w:val="18"/>
          <w:bdr w:val="none" w:sz="0" w:space="0" w:color="auto" w:frame="1"/>
          <w:shd w:val="clear" w:color="auto" w:fill="FFFFFF"/>
          <w:lang w:eastAsia="en-GB"/>
        </w:rPr>
        <w:t>is located in</w:t>
      </w:r>
      <w:proofErr w:type="gramEnd"/>
      <w:r w:rsidRPr="00A8111D">
        <w:rPr>
          <w:rFonts w:ascii="Arial" w:eastAsia="Times New Roman" w:hAnsi="Arial" w:cs="Arial"/>
          <w:color w:val="000000"/>
          <w:sz w:val="18"/>
          <w:szCs w:val="18"/>
          <w:bdr w:val="none" w:sz="0" w:space="0" w:color="auto" w:frame="1"/>
          <w:shd w:val="clear" w:color="auto" w:fill="FFFFFF"/>
          <w:lang w:eastAsia="en-GB"/>
        </w:rPr>
        <w:t xml:space="preserve"> the heart of the Caribbean Sea.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English-speaking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11-mile stretch of pink sand beach and as the home of the largest Frigate Bird Sanctuary in the Western Hemisphere.  Find information on Antigua &amp; Barbuda at: </w:t>
      </w:r>
      <w:hyperlink r:id="rId10" w:tgtFrame="_blank" w:history="1">
        <w:r w:rsidRPr="00A8111D">
          <w:rPr>
            <w:rFonts w:ascii="Arial" w:eastAsia="Times New Roman" w:hAnsi="Arial" w:cs="Arial"/>
            <w:color w:val="0000FF"/>
            <w:sz w:val="18"/>
            <w:szCs w:val="18"/>
            <w:u w:val="single"/>
            <w:bdr w:val="none" w:sz="0" w:space="0" w:color="auto" w:frame="1"/>
            <w:shd w:val="clear" w:color="auto" w:fill="FFFFFF"/>
            <w:lang w:eastAsia="en-GB"/>
          </w:rPr>
          <w:t>www.visitantiguabarbuda.com</w:t>
        </w:r>
      </w:hyperlink>
      <w:r w:rsidRPr="00A8111D">
        <w:rPr>
          <w:rFonts w:ascii="Arial" w:eastAsia="Times New Roman" w:hAnsi="Arial" w:cs="Arial"/>
          <w:color w:val="000000"/>
          <w:sz w:val="18"/>
          <w:szCs w:val="18"/>
          <w:bdr w:val="none" w:sz="0" w:space="0" w:color="auto" w:frame="1"/>
          <w:shd w:val="clear" w:color="auto" w:fill="FFFFFF"/>
          <w:lang w:eastAsia="en-GB"/>
        </w:rPr>
        <w:t> or follow us on </w:t>
      </w:r>
      <w:r w:rsidRPr="00A8111D">
        <w:rPr>
          <w:rFonts w:ascii="Arial" w:eastAsia="Times New Roman" w:hAnsi="Arial" w:cs="Arial"/>
          <w:b/>
          <w:bCs/>
          <w:color w:val="000000"/>
          <w:sz w:val="18"/>
          <w:szCs w:val="18"/>
          <w:bdr w:val="none" w:sz="0" w:space="0" w:color="auto" w:frame="1"/>
          <w:shd w:val="clear" w:color="auto" w:fill="FFFFFF"/>
          <w:lang w:eastAsia="en-GB"/>
        </w:rPr>
        <w:t>Twitter</w:t>
      </w:r>
      <w:r w:rsidRPr="00A8111D">
        <w:rPr>
          <w:rFonts w:ascii="Arial" w:eastAsia="Times New Roman" w:hAnsi="Arial" w:cs="Arial"/>
          <w:color w:val="000000"/>
          <w:sz w:val="18"/>
          <w:szCs w:val="18"/>
          <w:bdr w:val="none" w:sz="0" w:space="0" w:color="auto" w:frame="1"/>
          <w:shd w:val="clear" w:color="auto" w:fill="FFFFFF"/>
          <w:lang w:eastAsia="en-GB"/>
        </w:rPr>
        <w:t>: </w:t>
      </w:r>
      <w:hyperlink r:id="rId11" w:tgtFrame="_blank" w:history="1">
        <w:r w:rsidRPr="00A8111D">
          <w:rPr>
            <w:rFonts w:ascii="Arial" w:eastAsia="Times New Roman" w:hAnsi="Arial" w:cs="Arial"/>
            <w:color w:val="0000FF"/>
            <w:sz w:val="18"/>
            <w:szCs w:val="18"/>
            <w:u w:val="single"/>
            <w:bdr w:val="none" w:sz="0" w:space="0" w:color="auto" w:frame="1"/>
            <w:shd w:val="clear" w:color="auto" w:fill="FFFFFF"/>
            <w:lang w:eastAsia="en-GB"/>
          </w:rPr>
          <w:t>http://twitter.com/antiguabarbuda</w:t>
        </w:r>
      </w:hyperlink>
      <w:r w:rsidRPr="00A8111D">
        <w:rPr>
          <w:rFonts w:ascii="Arial" w:eastAsia="Times New Roman" w:hAnsi="Arial" w:cs="Arial"/>
          <w:color w:val="000000"/>
          <w:sz w:val="18"/>
          <w:szCs w:val="18"/>
          <w:bdr w:val="none" w:sz="0" w:space="0" w:color="auto" w:frame="1"/>
          <w:shd w:val="clear" w:color="auto" w:fill="FFFFFF"/>
          <w:lang w:eastAsia="en-GB"/>
        </w:rPr>
        <w:t>   </w:t>
      </w:r>
      <w:r w:rsidRPr="00A8111D">
        <w:rPr>
          <w:rFonts w:ascii="Arial" w:eastAsia="Times New Roman" w:hAnsi="Arial" w:cs="Arial"/>
          <w:b/>
          <w:bCs/>
          <w:color w:val="000000"/>
          <w:sz w:val="18"/>
          <w:szCs w:val="18"/>
          <w:bdr w:val="none" w:sz="0" w:space="0" w:color="auto" w:frame="1"/>
          <w:shd w:val="clear" w:color="auto" w:fill="FFFFFF"/>
          <w:lang w:eastAsia="en-GB"/>
        </w:rPr>
        <w:t>Facebook</w:t>
      </w:r>
      <w:r w:rsidRPr="00A8111D">
        <w:rPr>
          <w:rFonts w:ascii="Arial" w:eastAsia="Times New Roman" w:hAnsi="Arial" w:cs="Arial"/>
          <w:color w:val="000000"/>
          <w:sz w:val="18"/>
          <w:szCs w:val="18"/>
          <w:bdr w:val="none" w:sz="0" w:space="0" w:color="auto" w:frame="1"/>
          <w:shd w:val="clear" w:color="auto" w:fill="FFFFFF"/>
          <w:lang w:eastAsia="en-GB"/>
        </w:rPr>
        <w:t>: </w:t>
      </w:r>
      <w:hyperlink r:id="rId12" w:tgtFrame="_blank" w:history="1">
        <w:r w:rsidRPr="00A8111D">
          <w:rPr>
            <w:rFonts w:ascii="Arial" w:eastAsia="Times New Roman" w:hAnsi="Arial" w:cs="Arial"/>
            <w:color w:val="0000FF"/>
            <w:sz w:val="18"/>
            <w:szCs w:val="18"/>
            <w:u w:val="single"/>
            <w:bdr w:val="none" w:sz="0" w:space="0" w:color="auto" w:frame="1"/>
            <w:shd w:val="clear" w:color="auto" w:fill="FFFFFF"/>
            <w:lang w:eastAsia="en-GB"/>
          </w:rPr>
          <w:t>www.facebook.com/antiguabarbuda</w:t>
        </w:r>
      </w:hyperlink>
      <w:r w:rsidRPr="00A8111D">
        <w:rPr>
          <w:rFonts w:ascii="Arial" w:eastAsia="Times New Roman" w:hAnsi="Arial" w:cs="Arial"/>
          <w:color w:val="000000"/>
          <w:sz w:val="18"/>
          <w:szCs w:val="18"/>
          <w:bdr w:val="none" w:sz="0" w:space="0" w:color="auto" w:frame="1"/>
          <w:shd w:val="clear" w:color="auto" w:fill="FFFFFF"/>
          <w:lang w:eastAsia="en-GB"/>
        </w:rPr>
        <w:t>; </w:t>
      </w:r>
      <w:r w:rsidRPr="00A8111D">
        <w:rPr>
          <w:rFonts w:ascii="Arial" w:eastAsia="Times New Roman" w:hAnsi="Arial" w:cs="Arial"/>
          <w:b/>
          <w:bCs/>
          <w:color w:val="000000"/>
          <w:sz w:val="18"/>
          <w:szCs w:val="18"/>
          <w:bdr w:val="none" w:sz="0" w:space="0" w:color="auto" w:frame="1"/>
          <w:shd w:val="clear" w:color="auto" w:fill="FFFFFF"/>
          <w:lang w:eastAsia="en-GB"/>
        </w:rPr>
        <w:t>Instagram</w:t>
      </w:r>
      <w:r w:rsidRPr="00A8111D">
        <w:rPr>
          <w:rFonts w:ascii="Arial" w:eastAsia="Times New Roman" w:hAnsi="Arial" w:cs="Arial"/>
          <w:color w:val="000000"/>
          <w:sz w:val="18"/>
          <w:szCs w:val="18"/>
          <w:bdr w:val="none" w:sz="0" w:space="0" w:color="auto" w:frame="1"/>
          <w:shd w:val="clear" w:color="auto" w:fill="FFFFFF"/>
          <w:lang w:eastAsia="en-GB"/>
        </w:rPr>
        <w:t>: </w:t>
      </w:r>
      <w:hyperlink r:id="rId13" w:tgtFrame="_blank" w:history="1">
        <w:r w:rsidRPr="00A8111D">
          <w:rPr>
            <w:rFonts w:ascii="Arial" w:eastAsia="Times New Roman" w:hAnsi="Arial" w:cs="Arial"/>
            <w:color w:val="0000FF"/>
            <w:sz w:val="18"/>
            <w:szCs w:val="18"/>
            <w:u w:val="single"/>
            <w:bdr w:val="none" w:sz="0" w:space="0" w:color="auto" w:frame="1"/>
            <w:shd w:val="clear" w:color="auto" w:fill="FFFFFF"/>
            <w:lang w:eastAsia="en-GB"/>
          </w:rPr>
          <w:t>www.instagram.com/AntiguaandBarbuda</w:t>
        </w:r>
      </w:hyperlink>
      <w:r w:rsidRPr="00A8111D">
        <w:rPr>
          <w:rFonts w:ascii="Arial" w:eastAsia="Times New Roman" w:hAnsi="Arial" w:cs="Arial"/>
          <w:color w:val="000000"/>
          <w:sz w:val="18"/>
          <w:szCs w:val="18"/>
          <w:bdr w:val="none" w:sz="0" w:space="0" w:color="auto" w:frame="1"/>
          <w:shd w:val="clear" w:color="auto" w:fill="FFFFFF"/>
          <w:lang w:eastAsia="en-GB"/>
        </w:rPr>
        <w:t> </w:t>
      </w:r>
    </w:p>
    <w:p w14:paraId="4EFE6ABC" w14:textId="77777777" w:rsidR="00AD0080" w:rsidRPr="00A8111D" w:rsidRDefault="00AD0080" w:rsidP="00AD0080">
      <w:pPr>
        <w:jc w:val="both"/>
        <w:rPr>
          <w:rFonts w:ascii="Arial" w:eastAsia="Proxima Nova" w:hAnsi="Arial" w:cs="Arial"/>
          <w:sz w:val="18"/>
          <w:szCs w:val="18"/>
        </w:rPr>
      </w:pPr>
    </w:p>
    <w:p w14:paraId="11519ACC" w14:textId="77777777" w:rsidR="00AD0080" w:rsidRPr="00A8111D" w:rsidRDefault="00AD0080" w:rsidP="00AD0080">
      <w:pPr>
        <w:jc w:val="both"/>
        <w:rPr>
          <w:rFonts w:ascii="Arial" w:eastAsia="Proxima Nova" w:hAnsi="Arial" w:cs="Arial"/>
          <w:b/>
          <w:bCs/>
          <w:caps/>
          <w:sz w:val="18"/>
          <w:szCs w:val="18"/>
        </w:rPr>
      </w:pPr>
      <w:r w:rsidRPr="00A8111D">
        <w:rPr>
          <w:rFonts w:ascii="Arial" w:eastAsia="Proxima Nova" w:hAnsi="Arial" w:cs="Arial"/>
          <w:b/>
          <w:bCs/>
          <w:caps/>
          <w:sz w:val="18"/>
          <w:szCs w:val="18"/>
        </w:rPr>
        <w:t xml:space="preserve">For Antigua and Barbuda media enquiries, please contact: </w:t>
      </w:r>
    </w:p>
    <w:p w14:paraId="02AC3830" w14:textId="77777777" w:rsidR="00AD0080" w:rsidRPr="00A8111D" w:rsidRDefault="00AD0080" w:rsidP="00AD0080">
      <w:pPr>
        <w:jc w:val="both"/>
        <w:rPr>
          <w:rFonts w:ascii="Arial" w:eastAsia="Proxima Nova" w:hAnsi="Arial" w:cs="Arial"/>
          <w:sz w:val="18"/>
          <w:szCs w:val="18"/>
        </w:rPr>
      </w:pPr>
      <w:r w:rsidRPr="00A8111D">
        <w:rPr>
          <w:rFonts w:ascii="Arial" w:eastAsia="Proxima Nova" w:hAnsi="Arial" w:cs="Arial"/>
          <w:sz w:val="18"/>
          <w:szCs w:val="18"/>
        </w:rPr>
        <w:t xml:space="preserve">Maria Blackman </w:t>
      </w:r>
    </w:p>
    <w:p w14:paraId="23F44622" w14:textId="77777777" w:rsidR="00AD0080" w:rsidRPr="00A8111D" w:rsidRDefault="00AD0080" w:rsidP="00AD0080">
      <w:pPr>
        <w:jc w:val="both"/>
        <w:rPr>
          <w:rFonts w:ascii="Arial" w:eastAsia="Proxima Nova" w:hAnsi="Arial" w:cs="Arial"/>
          <w:sz w:val="18"/>
          <w:szCs w:val="18"/>
        </w:rPr>
      </w:pPr>
      <w:r w:rsidRPr="00A8111D">
        <w:rPr>
          <w:rFonts w:ascii="Arial" w:eastAsia="Proxima Nova" w:hAnsi="Arial" w:cs="Arial"/>
          <w:sz w:val="18"/>
          <w:szCs w:val="18"/>
        </w:rPr>
        <w:t>Marketing Communications Manager</w:t>
      </w:r>
    </w:p>
    <w:p w14:paraId="6D333EC6" w14:textId="77777777" w:rsidR="00AD0080" w:rsidRPr="00A8111D" w:rsidRDefault="00AD0080" w:rsidP="00AD0080">
      <w:pPr>
        <w:jc w:val="both"/>
        <w:rPr>
          <w:rFonts w:ascii="Arial" w:eastAsia="Proxima Nova" w:hAnsi="Arial" w:cs="Arial"/>
          <w:sz w:val="18"/>
          <w:szCs w:val="18"/>
        </w:rPr>
      </w:pPr>
      <w:r w:rsidRPr="00A8111D">
        <w:rPr>
          <w:rFonts w:ascii="Arial" w:eastAsia="Proxima Nova" w:hAnsi="Arial" w:cs="Arial"/>
          <w:sz w:val="18"/>
          <w:szCs w:val="18"/>
        </w:rPr>
        <w:t xml:space="preserve">Antigua and Barbuda Tourism Authority  </w:t>
      </w:r>
    </w:p>
    <w:p w14:paraId="61FC1A27" w14:textId="77777777" w:rsidR="00AD0080" w:rsidRPr="00A8111D" w:rsidRDefault="00AD0080" w:rsidP="00AD0080">
      <w:pPr>
        <w:jc w:val="both"/>
        <w:rPr>
          <w:rFonts w:ascii="Arial" w:eastAsia="Proxima Nova" w:hAnsi="Arial" w:cs="Arial"/>
          <w:sz w:val="18"/>
          <w:szCs w:val="18"/>
        </w:rPr>
      </w:pPr>
      <w:r w:rsidRPr="00A8111D">
        <w:rPr>
          <w:rFonts w:ascii="Arial" w:eastAsia="Proxima Nova" w:hAnsi="Arial" w:cs="Arial"/>
          <w:sz w:val="18"/>
          <w:szCs w:val="18"/>
        </w:rPr>
        <w:t>T: 1 (268) 562 7600/464-7601</w:t>
      </w:r>
    </w:p>
    <w:p w14:paraId="1F843D7C" w14:textId="77777777" w:rsidR="00AD0080" w:rsidRPr="00A8111D" w:rsidRDefault="00AD0080" w:rsidP="00AD0080">
      <w:pPr>
        <w:jc w:val="both"/>
        <w:rPr>
          <w:rFonts w:ascii="Arial" w:eastAsia="Proxima Nova" w:hAnsi="Arial" w:cs="Arial"/>
          <w:sz w:val="18"/>
          <w:szCs w:val="18"/>
        </w:rPr>
      </w:pPr>
      <w:r w:rsidRPr="00A8111D">
        <w:rPr>
          <w:rFonts w:ascii="Arial" w:eastAsia="Proxima Nova" w:hAnsi="Arial" w:cs="Arial"/>
          <w:sz w:val="18"/>
          <w:szCs w:val="18"/>
        </w:rPr>
        <w:t xml:space="preserve">E: maria.blackman@visitaandb.com  </w:t>
      </w:r>
    </w:p>
    <w:p w14:paraId="5529E2B4" w14:textId="5BB4359D" w:rsidR="00981DF4" w:rsidRPr="00D108BB" w:rsidRDefault="00AD0080" w:rsidP="00C67DE6">
      <w:pPr>
        <w:jc w:val="both"/>
        <w:rPr>
          <w:rFonts w:ascii="Arial" w:hAnsi="Arial" w:cs="Arial"/>
        </w:rPr>
      </w:pPr>
      <w:r w:rsidRPr="00A8111D">
        <w:rPr>
          <w:rFonts w:ascii="Arial" w:eastAsia="Proxima Nova" w:hAnsi="Arial" w:cs="Arial"/>
          <w:b/>
          <w:bCs/>
          <w:sz w:val="18"/>
          <w:szCs w:val="18"/>
        </w:rPr>
        <w:t>Antigua and Barbuda Images:</w:t>
      </w:r>
      <w:r w:rsidRPr="00A8111D">
        <w:rPr>
          <w:rFonts w:ascii="Arial" w:eastAsia="Proxima Nova" w:hAnsi="Arial" w:cs="Arial"/>
          <w:sz w:val="18"/>
          <w:szCs w:val="18"/>
        </w:rPr>
        <w:t xml:space="preserve"> aandbtourism.fotoseeker.com</w:t>
      </w:r>
      <w:r w:rsidRPr="00737021">
        <w:rPr>
          <w:rFonts w:ascii="Proxima Nova" w:eastAsia="Proxima Nova" w:hAnsi="Proxima Nova" w:cs="Proxima Nova"/>
          <w:sz w:val="18"/>
          <w:szCs w:val="18"/>
        </w:rPr>
        <w:t xml:space="preserve">  </w:t>
      </w:r>
    </w:p>
    <w:sectPr w:rsidR="00981DF4" w:rsidRPr="00D108BB">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DE05" w14:textId="77777777" w:rsidR="00C46627" w:rsidRDefault="00C46627" w:rsidP="00AD0080">
      <w:pPr>
        <w:spacing w:after="0" w:line="240" w:lineRule="auto"/>
      </w:pPr>
      <w:r>
        <w:separator/>
      </w:r>
    </w:p>
  </w:endnote>
  <w:endnote w:type="continuationSeparator" w:id="0">
    <w:p w14:paraId="041FC07D" w14:textId="77777777" w:rsidR="00C46627" w:rsidRDefault="00C46627" w:rsidP="00AD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46D7" w14:textId="77777777" w:rsidR="00AD0080" w:rsidRDefault="00AD0080" w:rsidP="00AD0080">
    <w:pPr>
      <w:tabs>
        <w:tab w:val="center" w:pos="4320"/>
        <w:tab w:val="right" w:pos="8640"/>
      </w:tabs>
      <w:rPr>
        <w:rFonts w:ascii="Times New Roman" w:eastAsia="Times New Roman" w:hAnsi="Times New Roman" w:cs="Times New Roman"/>
        <w:sz w:val="24"/>
        <w:szCs w:val="24"/>
        <w:lang w:val="fr-FR"/>
      </w:rPr>
    </w:pPr>
    <w:r>
      <w:rPr>
        <w:noProof/>
      </w:rPr>
      <mc:AlternateContent>
        <mc:Choice Requires="wps">
          <w:drawing>
            <wp:anchor distT="0" distB="0" distL="114300" distR="114300" simplePos="0" relativeHeight="251659264" behindDoc="0" locked="0" layoutInCell="1" allowOverlap="1" wp14:anchorId="304B319A" wp14:editId="4FBAAD72">
              <wp:simplePos x="0" y="0"/>
              <wp:positionH relativeFrom="column">
                <wp:posOffset>1123950</wp:posOffset>
              </wp:positionH>
              <wp:positionV relativeFrom="paragraph">
                <wp:posOffset>60960</wp:posOffset>
              </wp:positionV>
              <wp:extent cx="5419725" cy="1143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solidFill>
                        <a:srgbClr val="EC008C">
                          <a:alpha val="80000"/>
                        </a:srgbClr>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461C5" id="Rectangle 4" o:spid="_x0000_s1026" style="position:absolute;margin-left:88.5pt;margin-top:4.8pt;width:426.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Y2CQIAAP4DAAAOAAAAZHJzL2Uyb0RvYy54bWysU21v0zAQ/o7Ef7D8nSYpLeuiptPUMYQ0&#10;GNLgBziOk1g4PnN2m5Zfz9npump8Q+SDlXvxc/c8d17fHAbD9gq9BlvxYpZzpqyERtuu4j++379b&#10;ceaDsI0wYFXFj8rzm83bN+vRlWoOPZhGISMQ68vRVbwPwZVZ5mWvBuFn4JSlYAs4iEAmdlmDYiT0&#10;wWTzPP+QjYCNQ5DKe/LeTUG+Sfhtq2R4bFuvAjMVp95COjGddTyzzVqUHQrXa3lqQ/xDF4PQloqe&#10;oe5EEGyH+i+oQUsED22YSRgyaFstVeJAbIr8FZunXjiVuJA43p1l8v8PVn7dP7lvGFv37gHkT88s&#10;bHthO3WLCGOvREPliihUNjpfni9Ew9NVVo9foKHRil2ApMGhxSECEjt2SFIfz1KrQ2CSnMtFcX01&#10;X3ImKVYUi/d5mkUmyufbDn34pGBg8afiSKNM6GL/4EPsRpTPKal7MLq518YkA7t6a5DtBY394zbP&#10;V9vprnG9mLyrnL7EiphP6QnTX+IYG9EsRNypZPQkHSL1uGW+rKE5kgwI03LRYwiPdLQGxopLox1n&#10;PeDv176YR3OkCGcjLWDF/a+dQMWZ+WxJ8utisYgbm4zF8mpOBl5G6suIsJKgKh44m363YdrynUPd&#10;9VSpSApYuKUxtTop+NL9iRQtWRLh9CDiFl/aKevl2W7+AAAA//8DAFBLAwQUAAYACAAAACEAB9zb&#10;l90AAAAJAQAADwAAAGRycy9kb3ducmV2LnhtbEyPwU7DMBBE70j8g7VI3KhNEAkNcSpUiQOIQ0n4&#10;gG28TSLidRq7Tfh73BMcRzOaeVNsFjuIM02+d6zhfqVAEDfO9Nxq+Kpf755A+IBscHBMGn7Iw6a8&#10;viowN27mTzpXoRWxhH2OGroQxlxK33Rk0a/cSBy9g5sshiinVpoJ51huB5kolUqLPceFDkfadtR8&#10;VyerwXxUbzU2yfF9OO62uzqhuc1I69ub5eUZRKAl/IXhgh/RoYxMe3di48UQdZbFL0HDOgVx8dWD&#10;egSx15BkKciykP8flL8AAAD//wMAUEsBAi0AFAAGAAgAAAAhALaDOJL+AAAA4QEAABMAAAAAAAAA&#10;AAAAAAAAAAAAAFtDb250ZW50X1R5cGVzXS54bWxQSwECLQAUAAYACAAAACEAOP0h/9YAAACUAQAA&#10;CwAAAAAAAAAAAAAAAAAvAQAAX3JlbHMvLnJlbHNQSwECLQAUAAYACAAAACEAbUomNgkCAAD+AwAA&#10;DgAAAAAAAAAAAAAAAAAuAgAAZHJzL2Uyb0RvYy54bWxQSwECLQAUAAYACAAAACEAB9zbl90AAAAJ&#10;AQAADwAAAAAAAAAAAAAAAABjBAAAZHJzL2Rvd25yZXYueG1sUEsFBgAAAAAEAAQA8wAAAG0FAAAA&#10;AA==&#10;" fillcolor="#ec008c" stroked="f">
              <v:fill opacity="52428f"/>
            </v:rect>
          </w:pict>
        </mc:Fallback>
      </mc:AlternateContent>
    </w:r>
    <w:r>
      <w:rPr>
        <w:noProof/>
      </w:rPr>
      <mc:AlternateContent>
        <mc:Choice Requires="wps">
          <w:drawing>
            <wp:anchor distT="0" distB="0" distL="114300" distR="114300" simplePos="0" relativeHeight="251660288" behindDoc="0" locked="0" layoutInCell="1" allowOverlap="1" wp14:anchorId="479CD9B6" wp14:editId="6758F926">
              <wp:simplePos x="0" y="0"/>
              <wp:positionH relativeFrom="column">
                <wp:posOffset>-666750</wp:posOffset>
              </wp:positionH>
              <wp:positionV relativeFrom="paragraph">
                <wp:posOffset>60960</wp:posOffset>
              </wp:positionV>
              <wp:extent cx="4641850" cy="114300"/>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114300"/>
                      </a:xfrm>
                      <a:prstGeom prst="rect">
                        <a:avLst/>
                      </a:prstGeom>
                      <a:solidFill>
                        <a:srgbClr val="EC008C"/>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DF597" id="Rectangle 1" o:spid="_x0000_s1026" style="position:absolute;margin-left:-52.5pt;margin-top:4.8pt;width:365.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e1+gEAAN0DAAAOAAAAZHJzL2Uyb0RvYy54bWysU11v0zAUfUfiP1h+p0lKNkrUdJo6hpDG&#10;hjT4Aa5jJxaOr7l2m45fz7XbddV4Q7xYuR8+vufck+XVfrRspzAYcC2vZiVnyknojOtb/uP77bsF&#10;ZyEK1wkLTrX8SQV+tXr7Zjn5Rs1hANspZATiQjP5lg8x+qYoghzUKMIMvHJU1ICjiBRiX3QoJkIf&#10;bTEvy8tiAuw8glQhUPbmUOSrjK+1kvFB66Aisy2n2WI+MZ+bdBarpWh6FH4w8jiG+IcpRmEcPXqC&#10;uhFRsC2av6BGIxEC6DiTMBagtZEqcyA2VfmKzeMgvMpcSJzgTzKF/wcr73eP/hum0YO/A/kzMAfr&#10;QbheXSPCNCjR0XNVEqqYfGhOF1IQ6CrbTF+ho9WKbYSswV7jmACJHdtnqZ9OUqt9ZJKS9WVdLS5o&#10;I5JqVVW/L/MuCtE83/YY4mcFI0sfLUdaZUYXu7sQ0zSieW7J04M13a2xNgfYb9YW2U7Q2j+ty3Kx&#10;zgSI5HmbdanZQbp2QEyZTDMxSyYKzQa6J2KJcPAOeT0+0KEtTC2X1njOBsDfr3Opj9ZEFc4m8lfL&#10;w6+tQMWZ/eJI0Y9VXSdD5qC++DCnAM8rm/OKcJKgWh45O3yu48HEW4+mH+ilKovj4Jq2oE0W6GX6&#10;IynyUNbt6Pdk0vM4d738las/AAAA//8DAFBLAwQUAAYACAAAACEAZIcRgdsAAAAJAQAADwAAAGRy&#10;cy9kb3ducmV2LnhtbEyPwU7DMBBE70j8g7WVuLVOIzWFEKdCILincODoxIsTNV4H203Tv2c5wXG0&#10;o7dvqsPiRjFjiIMnBdtNBgKp82Ygq+Dj/XV9DyImTUaPnlDBFSMc6tubSpfGX6jB+ZisYAjFUivo&#10;U5pKKWPXo9Nx4yckvn354HTiGKw0QV8Y7kaZZ1khnR6IP/R6wuceu9Px7BTkyYTP7nv30rb75To3&#10;jZ3yN6vU3Wp5egSRcEl/ZfjVZ3Wo2an1ZzJRjArW22zHY5KChwIEF4q84NwyfV+ArCv5f0H9AwAA&#10;//8DAFBLAQItABQABgAIAAAAIQC2gziS/gAAAOEBAAATAAAAAAAAAAAAAAAAAAAAAABbQ29udGVu&#10;dF9UeXBlc10ueG1sUEsBAi0AFAAGAAgAAAAhADj9If/WAAAAlAEAAAsAAAAAAAAAAAAAAAAALwEA&#10;AF9yZWxzLy5yZWxzUEsBAi0AFAAGAAgAAAAhAAlsh7X6AQAA3QMAAA4AAAAAAAAAAAAAAAAALgIA&#10;AGRycy9lMm9Eb2MueG1sUEsBAi0AFAAGAAgAAAAhAGSHEYHbAAAACQEAAA8AAAAAAAAAAAAAAAAA&#10;VAQAAGRycy9kb3ducmV2LnhtbFBLBQYAAAAABAAEAPMAAABcBQAAAAA=&#10;" fillcolor="#ec008c" stroked="f"/>
          </w:pict>
        </mc:Fallback>
      </mc:AlternateContent>
    </w:r>
  </w:p>
  <w:p w14:paraId="41E19E4A" w14:textId="4583C828" w:rsidR="00AD0080" w:rsidRDefault="00AD0080" w:rsidP="00AD0080">
    <w:pPr>
      <w:widowControl w:val="0"/>
      <w:rPr>
        <w:rFonts w:ascii="Gill Sans MT" w:eastAsia="Times New Roman" w:hAnsi="Gill Sans MT"/>
        <w:color w:val="000000"/>
        <w:kern w:val="28"/>
        <w:sz w:val="16"/>
        <w:szCs w:val="18"/>
      </w:rPr>
    </w:pPr>
    <w:r>
      <w:rPr>
        <w:rFonts w:ascii="Gill Sans MT" w:eastAsia="Times New Roman" w:hAnsi="Gill Sans MT"/>
        <w:color w:val="000000"/>
        <w:kern w:val="28"/>
        <w:sz w:val="16"/>
        <w:szCs w:val="18"/>
      </w:rPr>
      <w:t xml:space="preserve">Antigua and Barbuda Tourism Authority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P.O. Box W351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John E. St. Luce Finance and Conference Centre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St. John’s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Antigua, W.I.</w:t>
    </w:r>
  </w:p>
  <w:p w14:paraId="07826436" w14:textId="68297891" w:rsidR="00AD0080" w:rsidRDefault="00D635D8" w:rsidP="00AD0080">
    <w:pPr>
      <w:widowControl w:val="0"/>
      <w:jc w:val="center"/>
      <w:rPr>
        <w:rFonts w:eastAsia="Times New Roman"/>
        <w:color w:val="000000"/>
        <w:kern w:val="28"/>
        <w:szCs w:val="15"/>
        <w:lang w:val="fr-FR"/>
      </w:rPr>
    </w:pPr>
    <w:r>
      <w:rPr>
        <w:rFonts w:ascii="Gill Sans MT" w:eastAsia="Times New Roman" w:hAnsi="Gill Sans MT"/>
        <w:color w:val="000000"/>
        <w:kern w:val="28"/>
        <w:sz w:val="16"/>
        <w:szCs w:val="18"/>
        <w:lang w:val="fr-FR"/>
      </w:rPr>
      <w:t>Phone :</w:t>
    </w:r>
    <w:r w:rsidR="00AD0080">
      <w:rPr>
        <w:rFonts w:ascii="Gill Sans MT" w:eastAsia="Times New Roman" w:hAnsi="Gill Sans MT"/>
        <w:color w:val="000000"/>
        <w:kern w:val="28"/>
        <w:sz w:val="16"/>
        <w:szCs w:val="18"/>
        <w:lang w:val="fr-FR"/>
      </w:rPr>
      <w:t xml:space="preserve"> 268 562 7600 </w:t>
    </w:r>
    <w:r w:rsidR="00AD0080">
      <w:rPr>
        <w:rFonts w:ascii="Gill Sans MT" w:eastAsia="Times New Roman" w:hAnsi="Gill Sans MT"/>
        <w:color w:val="000000"/>
        <w:kern w:val="28"/>
        <w:sz w:val="16"/>
        <w:szCs w:val="18"/>
      </w:rPr>
      <w:sym w:font="Wingdings 2" w:char="F097"/>
    </w:r>
    <w:r w:rsidR="00AD0080">
      <w:rPr>
        <w:rFonts w:ascii="Gill Sans MT" w:eastAsia="Times New Roman" w:hAnsi="Gill Sans MT"/>
        <w:color w:val="000000"/>
        <w:kern w:val="28"/>
        <w:sz w:val="16"/>
        <w:szCs w:val="18"/>
        <w:lang w:val="fr-FR"/>
      </w:rPr>
      <w:t xml:space="preserve"> </w:t>
    </w:r>
    <w:r>
      <w:rPr>
        <w:rFonts w:ascii="Gill Sans MT" w:eastAsia="Times New Roman" w:hAnsi="Gill Sans MT"/>
        <w:color w:val="000000"/>
        <w:kern w:val="28"/>
        <w:sz w:val="16"/>
        <w:szCs w:val="18"/>
        <w:lang w:val="fr-FR"/>
      </w:rPr>
      <w:t>Fax :</w:t>
    </w:r>
    <w:r w:rsidR="00AD0080">
      <w:rPr>
        <w:rFonts w:ascii="Gill Sans MT" w:eastAsia="Times New Roman" w:hAnsi="Gill Sans MT"/>
        <w:color w:val="000000"/>
        <w:kern w:val="28"/>
        <w:sz w:val="16"/>
        <w:szCs w:val="18"/>
        <w:lang w:val="fr-FR"/>
      </w:rPr>
      <w:t xml:space="preserve"> 268 562 7601 </w:t>
    </w:r>
    <w:r w:rsidR="00AD0080">
      <w:rPr>
        <w:rFonts w:ascii="Gill Sans MT" w:eastAsia="Times New Roman" w:hAnsi="Gill Sans MT"/>
        <w:color w:val="000000"/>
        <w:kern w:val="28"/>
        <w:sz w:val="16"/>
        <w:szCs w:val="18"/>
      </w:rPr>
      <w:sym w:font="Wingdings 2" w:char="F097"/>
    </w:r>
    <w:r w:rsidR="00AD0080">
      <w:rPr>
        <w:rFonts w:ascii="Gill Sans MT" w:eastAsia="Times New Roman" w:hAnsi="Gill Sans MT"/>
        <w:color w:val="000000"/>
        <w:kern w:val="28"/>
        <w:sz w:val="16"/>
        <w:szCs w:val="18"/>
        <w:lang w:val="fr-FR"/>
      </w:rPr>
      <w:t xml:space="preserve"> </w:t>
    </w:r>
    <w:proofErr w:type="gramStart"/>
    <w:r>
      <w:rPr>
        <w:rFonts w:ascii="Gill Sans MT" w:eastAsia="Times New Roman" w:hAnsi="Gill Sans MT"/>
        <w:color w:val="000000"/>
        <w:kern w:val="28"/>
        <w:sz w:val="16"/>
        <w:szCs w:val="18"/>
        <w:lang w:val="fr-FR"/>
      </w:rPr>
      <w:t>Email</w:t>
    </w:r>
    <w:proofErr w:type="gramEnd"/>
    <w:r>
      <w:rPr>
        <w:rFonts w:ascii="Gill Sans MT" w:eastAsia="Times New Roman" w:hAnsi="Gill Sans MT"/>
        <w:color w:val="000000"/>
        <w:kern w:val="28"/>
        <w:sz w:val="16"/>
        <w:szCs w:val="18"/>
        <w:lang w:val="fr-FR"/>
      </w:rPr>
      <w:t xml:space="preserve"> :</w:t>
    </w:r>
    <w:r w:rsidR="00AD0080">
      <w:rPr>
        <w:rFonts w:ascii="Gill Sans MT" w:eastAsia="Times New Roman" w:hAnsi="Gill Sans MT"/>
        <w:color w:val="000000"/>
        <w:kern w:val="28"/>
        <w:sz w:val="16"/>
        <w:szCs w:val="18"/>
        <w:lang w:val="fr-FR"/>
      </w:rPr>
      <w:t xml:space="preserve"> maria.blackman@visitaandb.com</w:t>
    </w:r>
  </w:p>
  <w:p w14:paraId="49B3D679" w14:textId="77777777" w:rsidR="00AD0080" w:rsidRDefault="00AD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88CA" w14:textId="77777777" w:rsidR="00C46627" w:rsidRDefault="00C46627" w:rsidP="00AD0080">
      <w:pPr>
        <w:spacing w:after="0" w:line="240" w:lineRule="auto"/>
      </w:pPr>
      <w:r>
        <w:separator/>
      </w:r>
    </w:p>
  </w:footnote>
  <w:footnote w:type="continuationSeparator" w:id="0">
    <w:p w14:paraId="5DB69927" w14:textId="77777777" w:rsidR="00C46627" w:rsidRDefault="00C46627" w:rsidP="00AD00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F4"/>
    <w:rsid w:val="00002969"/>
    <w:rsid w:val="00010ACC"/>
    <w:rsid w:val="00013655"/>
    <w:rsid w:val="00016D76"/>
    <w:rsid w:val="0001740B"/>
    <w:rsid w:val="00067D5C"/>
    <w:rsid w:val="000756FC"/>
    <w:rsid w:val="000765F0"/>
    <w:rsid w:val="000A109F"/>
    <w:rsid w:val="000B19AB"/>
    <w:rsid w:val="000B4043"/>
    <w:rsid w:val="000C39C3"/>
    <w:rsid w:val="000C475C"/>
    <w:rsid w:val="000C593E"/>
    <w:rsid w:val="000E4A44"/>
    <w:rsid w:val="000E5EA1"/>
    <w:rsid w:val="000E6241"/>
    <w:rsid w:val="00100C5F"/>
    <w:rsid w:val="00124044"/>
    <w:rsid w:val="0012505B"/>
    <w:rsid w:val="001331AF"/>
    <w:rsid w:val="00137A61"/>
    <w:rsid w:val="00176603"/>
    <w:rsid w:val="001834AC"/>
    <w:rsid w:val="00192941"/>
    <w:rsid w:val="00196722"/>
    <w:rsid w:val="00197935"/>
    <w:rsid w:val="001A318A"/>
    <w:rsid w:val="001A4724"/>
    <w:rsid w:val="001B0C71"/>
    <w:rsid w:val="001B5396"/>
    <w:rsid w:val="001D2D7D"/>
    <w:rsid w:val="00207AE2"/>
    <w:rsid w:val="00212114"/>
    <w:rsid w:val="002211E7"/>
    <w:rsid w:val="00244E14"/>
    <w:rsid w:val="0025203F"/>
    <w:rsid w:val="00254C77"/>
    <w:rsid w:val="002B16C8"/>
    <w:rsid w:val="002E6FA5"/>
    <w:rsid w:val="002F4BAB"/>
    <w:rsid w:val="003001EE"/>
    <w:rsid w:val="00301684"/>
    <w:rsid w:val="00324531"/>
    <w:rsid w:val="003273EC"/>
    <w:rsid w:val="00345A6E"/>
    <w:rsid w:val="0035251C"/>
    <w:rsid w:val="00354140"/>
    <w:rsid w:val="003630CF"/>
    <w:rsid w:val="003C59AE"/>
    <w:rsid w:val="003D55EB"/>
    <w:rsid w:val="003E3ABA"/>
    <w:rsid w:val="003E7BA2"/>
    <w:rsid w:val="003F0E7F"/>
    <w:rsid w:val="004248C0"/>
    <w:rsid w:val="00424C2F"/>
    <w:rsid w:val="00432284"/>
    <w:rsid w:val="0045305D"/>
    <w:rsid w:val="00455C0D"/>
    <w:rsid w:val="00480240"/>
    <w:rsid w:val="004815F7"/>
    <w:rsid w:val="004A4BF2"/>
    <w:rsid w:val="004B5BC7"/>
    <w:rsid w:val="004C5128"/>
    <w:rsid w:val="004F306A"/>
    <w:rsid w:val="004F7708"/>
    <w:rsid w:val="00503CC9"/>
    <w:rsid w:val="0053319A"/>
    <w:rsid w:val="005827F9"/>
    <w:rsid w:val="005A7822"/>
    <w:rsid w:val="005B3F79"/>
    <w:rsid w:val="005B7C9D"/>
    <w:rsid w:val="005C7FD5"/>
    <w:rsid w:val="0062112C"/>
    <w:rsid w:val="00624614"/>
    <w:rsid w:val="00630A02"/>
    <w:rsid w:val="00657099"/>
    <w:rsid w:val="00667BC4"/>
    <w:rsid w:val="006714D3"/>
    <w:rsid w:val="00682980"/>
    <w:rsid w:val="00686913"/>
    <w:rsid w:val="00697AA1"/>
    <w:rsid w:val="006A5E20"/>
    <w:rsid w:val="006C2B71"/>
    <w:rsid w:val="006F2164"/>
    <w:rsid w:val="00742D7D"/>
    <w:rsid w:val="00745B6B"/>
    <w:rsid w:val="00755D22"/>
    <w:rsid w:val="007572E4"/>
    <w:rsid w:val="00772AE3"/>
    <w:rsid w:val="00773EB3"/>
    <w:rsid w:val="00786AED"/>
    <w:rsid w:val="007935AB"/>
    <w:rsid w:val="00794852"/>
    <w:rsid w:val="007A41F7"/>
    <w:rsid w:val="007C0EF0"/>
    <w:rsid w:val="007C5C0B"/>
    <w:rsid w:val="007D4C48"/>
    <w:rsid w:val="007E4E1A"/>
    <w:rsid w:val="008048F9"/>
    <w:rsid w:val="008070BE"/>
    <w:rsid w:val="00817F2F"/>
    <w:rsid w:val="00834593"/>
    <w:rsid w:val="0085245C"/>
    <w:rsid w:val="00860A35"/>
    <w:rsid w:val="00872EEA"/>
    <w:rsid w:val="009062E6"/>
    <w:rsid w:val="00911F69"/>
    <w:rsid w:val="00912438"/>
    <w:rsid w:val="009149D8"/>
    <w:rsid w:val="009213F6"/>
    <w:rsid w:val="00930985"/>
    <w:rsid w:val="009321D0"/>
    <w:rsid w:val="00936519"/>
    <w:rsid w:val="0094608B"/>
    <w:rsid w:val="00950CBE"/>
    <w:rsid w:val="00956561"/>
    <w:rsid w:val="00960E7C"/>
    <w:rsid w:val="0096599A"/>
    <w:rsid w:val="0096740F"/>
    <w:rsid w:val="00977CDC"/>
    <w:rsid w:val="0098119A"/>
    <w:rsid w:val="00981DF4"/>
    <w:rsid w:val="0098243C"/>
    <w:rsid w:val="00985CFA"/>
    <w:rsid w:val="00990C86"/>
    <w:rsid w:val="00991C4C"/>
    <w:rsid w:val="00991E40"/>
    <w:rsid w:val="00994836"/>
    <w:rsid w:val="009A3D47"/>
    <w:rsid w:val="009A62AD"/>
    <w:rsid w:val="009A6482"/>
    <w:rsid w:val="009A64FB"/>
    <w:rsid w:val="009B2003"/>
    <w:rsid w:val="009E10C1"/>
    <w:rsid w:val="009E5839"/>
    <w:rsid w:val="009F28F4"/>
    <w:rsid w:val="00A06F2B"/>
    <w:rsid w:val="00A2687D"/>
    <w:rsid w:val="00A3504F"/>
    <w:rsid w:val="00A423A4"/>
    <w:rsid w:val="00A56B1B"/>
    <w:rsid w:val="00A8111D"/>
    <w:rsid w:val="00A84137"/>
    <w:rsid w:val="00A912DB"/>
    <w:rsid w:val="00A94E02"/>
    <w:rsid w:val="00AB449F"/>
    <w:rsid w:val="00AB79A6"/>
    <w:rsid w:val="00AD0080"/>
    <w:rsid w:val="00AD0BAA"/>
    <w:rsid w:val="00AE0F6A"/>
    <w:rsid w:val="00AE60E4"/>
    <w:rsid w:val="00AF11F5"/>
    <w:rsid w:val="00AF13D4"/>
    <w:rsid w:val="00B03187"/>
    <w:rsid w:val="00B051B3"/>
    <w:rsid w:val="00B0663D"/>
    <w:rsid w:val="00B07BBD"/>
    <w:rsid w:val="00B16D12"/>
    <w:rsid w:val="00B16E7B"/>
    <w:rsid w:val="00B25B7D"/>
    <w:rsid w:val="00B40AF5"/>
    <w:rsid w:val="00B472FC"/>
    <w:rsid w:val="00B62B97"/>
    <w:rsid w:val="00B801B2"/>
    <w:rsid w:val="00B8328F"/>
    <w:rsid w:val="00B91DCD"/>
    <w:rsid w:val="00BA16A0"/>
    <w:rsid w:val="00BB2269"/>
    <w:rsid w:val="00BD1D51"/>
    <w:rsid w:val="00BD57CD"/>
    <w:rsid w:val="00BE48B7"/>
    <w:rsid w:val="00BE48B9"/>
    <w:rsid w:val="00BE66EE"/>
    <w:rsid w:val="00BF3AFA"/>
    <w:rsid w:val="00BF3D49"/>
    <w:rsid w:val="00BF405E"/>
    <w:rsid w:val="00C01386"/>
    <w:rsid w:val="00C24F5C"/>
    <w:rsid w:val="00C2577B"/>
    <w:rsid w:val="00C46627"/>
    <w:rsid w:val="00C67DE6"/>
    <w:rsid w:val="00C75AC4"/>
    <w:rsid w:val="00C86AEE"/>
    <w:rsid w:val="00C921BF"/>
    <w:rsid w:val="00CA2376"/>
    <w:rsid w:val="00CA4996"/>
    <w:rsid w:val="00CB05CE"/>
    <w:rsid w:val="00CD0D15"/>
    <w:rsid w:val="00CE10BE"/>
    <w:rsid w:val="00D07375"/>
    <w:rsid w:val="00D108BB"/>
    <w:rsid w:val="00D21F68"/>
    <w:rsid w:val="00D32DA7"/>
    <w:rsid w:val="00D33457"/>
    <w:rsid w:val="00D34792"/>
    <w:rsid w:val="00D54DCD"/>
    <w:rsid w:val="00D635D8"/>
    <w:rsid w:val="00D667CC"/>
    <w:rsid w:val="00D66DB4"/>
    <w:rsid w:val="00D73D5A"/>
    <w:rsid w:val="00D74B3A"/>
    <w:rsid w:val="00D8469E"/>
    <w:rsid w:val="00DA47C5"/>
    <w:rsid w:val="00DC13AE"/>
    <w:rsid w:val="00DE19C6"/>
    <w:rsid w:val="00DF7368"/>
    <w:rsid w:val="00E02A65"/>
    <w:rsid w:val="00E04325"/>
    <w:rsid w:val="00E3139D"/>
    <w:rsid w:val="00E350E2"/>
    <w:rsid w:val="00E5001A"/>
    <w:rsid w:val="00E50C55"/>
    <w:rsid w:val="00E55874"/>
    <w:rsid w:val="00E63834"/>
    <w:rsid w:val="00E6551F"/>
    <w:rsid w:val="00E71876"/>
    <w:rsid w:val="00E73F29"/>
    <w:rsid w:val="00E748C6"/>
    <w:rsid w:val="00E769F8"/>
    <w:rsid w:val="00E91145"/>
    <w:rsid w:val="00E92F88"/>
    <w:rsid w:val="00E930E3"/>
    <w:rsid w:val="00EE62B0"/>
    <w:rsid w:val="00EF4294"/>
    <w:rsid w:val="00F165A2"/>
    <w:rsid w:val="00F27715"/>
    <w:rsid w:val="00F33D35"/>
    <w:rsid w:val="00F40E5B"/>
    <w:rsid w:val="00F5250C"/>
    <w:rsid w:val="00F53A6D"/>
    <w:rsid w:val="00F629FA"/>
    <w:rsid w:val="00F71F07"/>
    <w:rsid w:val="00F75243"/>
    <w:rsid w:val="00F829B2"/>
    <w:rsid w:val="00FB3A3E"/>
    <w:rsid w:val="00FD2A6D"/>
    <w:rsid w:val="00FF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627B9"/>
  <w15:chartTrackingRefBased/>
  <w15:docId w15:val="{904D1612-B52E-4721-8F8F-C0F74BA3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DF4"/>
    <w:rPr>
      <w:color w:val="0000FF"/>
      <w:u w:val="single"/>
    </w:rPr>
  </w:style>
  <w:style w:type="character" w:styleId="UnresolvedMention">
    <w:name w:val="Unresolved Mention"/>
    <w:basedOn w:val="DefaultParagraphFont"/>
    <w:uiPriority w:val="99"/>
    <w:semiHidden/>
    <w:unhideWhenUsed/>
    <w:rsid w:val="00D108BB"/>
    <w:rPr>
      <w:color w:val="605E5C"/>
      <w:shd w:val="clear" w:color="auto" w:fill="E1DFDD"/>
    </w:rPr>
  </w:style>
  <w:style w:type="paragraph" w:styleId="Header">
    <w:name w:val="header"/>
    <w:basedOn w:val="Normal"/>
    <w:link w:val="HeaderChar"/>
    <w:uiPriority w:val="99"/>
    <w:unhideWhenUsed/>
    <w:rsid w:val="00AD0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080"/>
  </w:style>
  <w:style w:type="paragraph" w:styleId="Footer">
    <w:name w:val="footer"/>
    <w:basedOn w:val="Normal"/>
    <w:link w:val="FooterChar"/>
    <w:uiPriority w:val="99"/>
    <w:unhideWhenUsed/>
    <w:rsid w:val="00AD0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080"/>
  </w:style>
  <w:style w:type="character" w:styleId="FollowedHyperlink">
    <w:name w:val="FollowedHyperlink"/>
    <w:basedOn w:val="DefaultParagraphFont"/>
    <w:uiPriority w:val="99"/>
    <w:semiHidden/>
    <w:unhideWhenUsed/>
    <w:rsid w:val="00B03187"/>
    <w:rPr>
      <w:color w:val="954F72" w:themeColor="followedHyperlink"/>
      <w:u w:val="single"/>
    </w:rPr>
  </w:style>
  <w:style w:type="paragraph" w:customStyle="1" w:styleId="Body">
    <w:name w:val="Body"/>
    <w:rsid w:val="00BA16A0"/>
    <w:pPr>
      <w:spacing w:after="0" w:line="240" w:lineRule="auto"/>
    </w:pPr>
    <w:rPr>
      <w:rFonts w:ascii="Helvetica" w:eastAsia="Arial Unicode MS" w:hAnsi="Arial Unicode MS" w:cs="Arial Unicode MS"/>
      <w:color w:val="000000"/>
      <w:lang w:eastAsia="en-GB"/>
    </w:rPr>
  </w:style>
  <w:style w:type="character" w:customStyle="1" w:styleId="Hyperlink0">
    <w:name w:val="Hyperlink.0"/>
    <w:basedOn w:val="Hyperlink"/>
    <w:rsid w:val="00BA16A0"/>
    <w:rPr>
      <w:color w:val="0563C1" w:themeColor="hyperlink"/>
      <w:u w:val="single"/>
    </w:rPr>
  </w:style>
  <w:style w:type="paragraph" w:styleId="BalloonText">
    <w:name w:val="Balloon Text"/>
    <w:basedOn w:val="Normal"/>
    <w:link w:val="BalloonTextChar"/>
    <w:uiPriority w:val="99"/>
    <w:semiHidden/>
    <w:unhideWhenUsed/>
    <w:rsid w:val="007A41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41F7"/>
    <w:rPr>
      <w:rFonts w:ascii="Times New Roman" w:hAnsi="Times New Roman" w:cs="Times New Roman"/>
      <w:sz w:val="18"/>
      <w:szCs w:val="18"/>
    </w:rPr>
  </w:style>
  <w:style w:type="paragraph" w:styleId="Revision">
    <w:name w:val="Revision"/>
    <w:hidden/>
    <w:uiPriority w:val="99"/>
    <w:semiHidden/>
    <w:rsid w:val="000E4A44"/>
    <w:pPr>
      <w:spacing w:after="0" w:line="240" w:lineRule="auto"/>
    </w:pPr>
  </w:style>
  <w:style w:type="table" w:styleId="TableGrid">
    <w:name w:val="Table Grid"/>
    <w:basedOn w:val="TableNormal"/>
    <w:uiPriority w:val="39"/>
    <w:rsid w:val="005B7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45761">
      <w:bodyDiv w:val="1"/>
      <w:marLeft w:val="0"/>
      <w:marRight w:val="0"/>
      <w:marTop w:val="0"/>
      <w:marBottom w:val="0"/>
      <w:divBdr>
        <w:top w:val="none" w:sz="0" w:space="0" w:color="auto"/>
        <w:left w:val="none" w:sz="0" w:space="0" w:color="auto"/>
        <w:bottom w:val="none" w:sz="0" w:space="0" w:color="auto"/>
        <w:right w:val="none" w:sz="0" w:space="0" w:color="auto"/>
      </w:divBdr>
    </w:div>
    <w:div w:id="549879081">
      <w:bodyDiv w:val="1"/>
      <w:marLeft w:val="0"/>
      <w:marRight w:val="0"/>
      <w:marTop w:val="0"/>
      <w:marBottom w:val="0"/>
      <w:divBdr>
        <w:top w:val="none" w:sz="0" w:space="0" w:color="auto"/>
        <w:left w:val="none" w:sz="0" w:space="0" w:color="auto"/>
        <w:bottom w:val="none" w:sz="0" w:space="0" w:color="auto"/>
        <w:right w:val="none" w:sz="0" w:space="0" w:color="auto"/>
      </w:divBdr>
    </w:div>
    <w:div w:id="936906911">
      <w:bodyDiv w:val="1"/>
      <w:marLeft w:val="0"/>
      <w:marRight w:val="0"/>
      <w:marTop w:val="0"/>
      <w:marBottom w:val="0"/>
      <w:divBdr>
        <w:top w:val="none" w:sz="0" w:space="0" w:color="auto"/>
        <w:left w:val="none" w:sz="0" w:space="0" w:color="auto"/>
        <w:bottom w:val="none" w:sz="0" w:space="0" w:color="auto"/>
        <w:right w:val="none" w:sz="0" w:space="0" w:color="auto"/>
      </w:divBdr>
    </w:div>
    <w:div w:id="940919807">
      <w:bodyDiv w:val="1"/>
      <w:marLeft w:val="0"/>
      <w:marRight w:val="0"/>
      <w:marTop w:val="0"/>
      <w:marBottom w:val="0"/>
      <w:divBdr>
        <w:top w:val="none" w:sz="0" w:space="0" w:color="auto"/>
        <w:left w:val="none" w:sz="0" w:space="0" w:color="auto"/>
        <w:bottom w:val="none" w:sz="0" w:space="0" w:color="auto"/>
        <w:right w:val="none" w:sz="0" w:space="0" w:color="auto"/>
      </w:divBdr>
    </w:div>
    <w:div w:id="978807831">
      <w:bodyDiv w:val="1"/>
      <w:marLeft w:val="0"/>
      <w:marRight w:val="0"/>
      <w:marTop w:val="0"/>
      <w:marBottom w:val="0"/>
      <w:divBdr>
        <w:top w:val="none" w:sz="0" w:space="0" w:color="auto"/>
        <w:left w:val="none" w:sz="0" w:space="0" w:color="auto"/>
        <w:bottom w:val="none" w:sz="0" w:space="0" w:color="auto"/>
        <w:right w:val="none" w:sz="0" w:space="0" w:color="auto"/>
      </w:divBdr>
    </w:div>
    <w:div w:id="1066345280">
      <w:bodyDiv w:val="1"/>
      <w:marLeft w:val="0"/>
      <w:marRight w:val="0"/>
      <w:marTop w:val="0"/>
      <w:marBottom w:val="0"/>
      <w:divBdr>
        <w:top w:val="none" w:sz="0" w:space="0" w:color="auto"/>
        <w:left w:val="none" w:sz="0" w:space="0" w:color="auto"/>
        <w:bottom w:val="none" w:sz="0" w:space="0" w:color="auto"/>
        <w:right w:val="none" w:sz="0" w:space="0" w:color="auto"/>
      </w:divBdr>
    </w:div>
    <w:div w:id="1066609538">
      <w:bodyDiv w:val="1"/>
      <w:marLeft w:val="0"/>
      <w:marRight w:val="0"/>
      <w:marTop w:val="0"/>
      <w:marBottom w:val="0"/>
      <w:divBdr>
        <w:top w:val="none" w:sz="0" w:space="0" w:color="auto"/>
        <w:left w:val="none" w:sz="0" w:space="0" w:color="auto"/>
        <w:bottom w:val="none" w:sz="0" w:space="0" w:color="auto"/>
        <w:right w:val="none" w:sz="0" w:space="0" w:color="auto"/>
      </w:divBdr>
    </w:div>
    <w:div w:id="1117943030">
      <w:bodyDiv w:val="1"/>
      <w:marLeft w:val="0"/>
      <w:marRight w:val="0"/>
      <w:marTop w:val="0"/>
      <w:marBottom w:val="0"/>
      <w:divBdr>
        <w:top w:val="none" w:sz="0" w:space="0" w:color="auto"/>
        <w:left w:val="none" w:sz="0" w:space="0" w:color="auto"/>
        <w:bottom w:val="none" w:sz="0" w:space="0" w:color="auto"/>
        <w:right w:val="none" w:sz="0" w:space="0" w:color="auto"/>
      </w:divBdr>
    </w:div>
    <w:div w:id="1163081656">
      <w:bodyDiv w:val="1"/>
      <w:marLeft w:val="0"/>
      <w:marRight w:val="0"/>
      <w:marTop w:val="0"/>
      <w:marBottom w:val="0"/>
      <w:divBdr>
        <w:top w:val="none" w:sz="0" w:space="0" w:color="auto"/>
        <w:left w:val="none" w:sz="0" w:space="0" w:color="auto"/>
        <w:bottom w:val="none" w:sz="0" w:space="0" w:color="auto"/>
        <w:right w:val="none" w:sz="0" w:space="0" w:color="auto"/>
      </w:divBdr>
      <w:divsChild>
        <w:div w:id="614412991">
          <w:marLeft w:val="0"/>
          <w:marRight w:val="0"/>
          <w:marTop w:val="0"/>
          <w:marBottom w:val="0"/>
          <w:divBdr>
            <w:top w:val="none" w:sz="0" w:space="0" w:color="auto"/>
            <w:left w:val="none" w:sz="0" w:space="0" w:color="auto"/>
            <w:bottom w:val="none" w:sz="0" w:space="0" w:color="auto"/>
            <w:right w:val="none" w:sz="0" w:space="0" w:color="auto"/>
          </w:divBdr>
        </w:div>
        <w:div w:id="1343432957">
          <w:marLeft w:val="0"/>
          <w:marRight w:val="0"/>
          <w:marTop w:val="0"/>
          <w:marBottom w:val="0"/>
          <w:divBdr>
            <w:top w:val="none" w:sz="0" w:space="0" w:color="auto"/>
            <w:left w:val="none" w:sz="0" w:space="0" w:color="auto"/>
            <w:bottom w:val="none" w:sz="0" w:space="0" w:color="auto"/>
            <w:right w:val="none" w:sz="0" w:space="0" w:color="auto"/>
          </w:divBdr>
        </w:div>
        <w:div w:id="95295576">
          <w:marLeft w:val="0"/>
          <w:marRight w:val="0"/>
          <w:marTop w:val="0"/>
          <w:marBottom w:val="0"/>
          <w:divBdr>
            <w:top w:val="none" w:sz="0" w:space="0" w:color="auto"/>
            <w:left w:val="none" w:sz="0" w:space="0" w:color="auto"/>
            <w:bottom w:val="none" w:sz="0" w:space="0" w:color="auto"/>
            <w:right w:val="none" w:sz="0" w:space="0" w:color="auto"/>
          </w:divBdr>
        </w:div>
        <w:div w:id="2030595085">
          <w:marLeft w:val="0"/>
          <w:marRight w:val="0"/>
          <w:marTop w:val="0"/>
          <w:marBottom w:val="0"/>
          <w:divBdr>
            <w:top w:val="none" w:sz="0" w:space="0" w:color="auto"/>
            <w:left w:val="none" w:sz="0" w:space="0" w:color="auto"/>
            <w:bottom w:val="none" w:sz="0" w:space="0" w:color="auto"/>
            <w:right w:val="none" w:sz="0" w:space="0" w:color="auto"/>
          </w:divBdr>
        </w:div>
      </w:divsChild>
    </w:div>
    <w:div w:id="1431006169">
      <w:bodyDiv w:val="1"/>
      <w:marLeft w:val="0"/>
      <w:marRight w:val="0"/>
      <w:marTop w:val="0"/>
      <w:marBottom w:val="0"/>
      <w:divBdr>
        <w:top w:val="none" w:sz="0" w:space="0" w:color="auto"/>
        <w:left w:val="none" w:sz="0" w:space="0" w:color="auto"/>
        <w:bottom w:val="none" w:sz="0" w:space="0" w:color="auto"/>
        <w:right w:val="none" w:sz="0" w:space="0" w:color="auto"/>
      </w:divBdr>
    </w:div>
    <w:div w:id="1737167852">
      <w:bodyDiv w:val="1"/>
      <w:marLeft w:val="0"/>
      <w:marRight w:val="0"/>
      <w:marTop w:val="0"/>
      <w:marBottom w:val="0"/>
      <w:divBdr>
        <w:top w:val="none" w:sz="0" w:space="0" w:color="auto"/>
        <w:left w:val="none" w:sz="0" w:space="0" w:color="auto"/>
        <w:bottom w:val="none" w:sz="0" w:space="0" w:color="auto"/>
        <w:right w:val="none" w:sz="0" w:space="0" w:color="auto"/>
      </w:divBdr>
    </w:div>
    <w:div w:id="1752044533">
      <w:bodyDiv w:val="1"/>
      <w:marLeft w:val="0"/>
      <w:marRight w:val="0"/>
      <w:marTop w:val="0"/>
      <w:marBottom w:val="0"/>
      <w:divBdr>
        <w:top w:val="none" w:sz="0" w:space="0" w:color="auto"/>
        <w:left w:val="none" w:sz="0" w:space="0" w:color="auto"/>
        <w:bottom w:val="none" w:sz="0" w:space="0" w:color="auto"/>
        <w:right w:val="none" w:sz="0" w:space="0" w:color="auto"/>
      </w:divBdr>
    </w:div>
    <w:div w:id="1940747213">
      <w:bodyDiv w:val="1"/>
      <w:marLeft w:val="0"/>
      <w:marRight w:val="0"/>
      <w:marTop w:val="0"/>
      <w:marBottom w:val="0"/>
      <w:divBdr>
        <w:top w:val="none" w:sz="0" w:space="0" w:color="auto"/>
        <w:left w:val="none" w:sz="0" w:space="0" w:color="auto"/>
        <w:bottom w:val="none" w:sz="0" w:space="0" w:color="auto"/>
        <w:right w:val="none" w:sz="0" w:space="0" w:color="auto"/>
      </w:divBdr>
      <w:divsChild>
        <w:div w:id="1553809832">
          <w:marLeft w:val="0"/>
          <w:marRight w:val="0"/>
          <w:marTop w:val="0"/>
          <w:marBottom w:val="0"/>
          <w:divBdr>
            <w:top w:val="none" w:sz="0" w:space="0" w:color="auto"/>
            <w:left w:val="none" w:sz="0" w:space="0" w:color="auto"/>
            <w:bottom w:val="none" w:sz="0" w:space="0" w:color="auto"/>
            <w:right w:val="none" w:sz="0" w:space="0" w:color="auto"/>
          </w:divBdr>
        </w:div>
        <w:div w:id="1840461673">
          <w:marLeft w:val="0"/>
          <w:marRight w:val="0"/>
          <w:marTop w:val="0"/>
          <w:marBottom w:val="0"/>
          <w:divBdr>
            <w:top w:val="none" w:sz="0" w:space="0" w:color="auto"/>
            <w:left w:val="none" w:sz="0" w:space="0" w:color="auto"/>
            <w:bottom w:val="none" w:sz="0" w:space="0" w:color="auto"/>
            <w:right w:val="none" w:sz="0" w:space="0" w:color="auto"/>
          </w:divBdr>
        </w:div>
        <w:div w:id="56369568">
          <w:marLeft w:val="0"/>
          <w:marRight w:val="0"/>
          <w:marTop w:val="0"/>
          <w:marBottom w:val="0"/>
          <w:divBdr>
            <w:top w:val="none" w:sz="0" w:space="0" w:color="auto"/>
            <w:left w:val="none" w:sz="0" w:space="0" w:color="auto"/>
            <w:bottom w:val="none" w:sz="0" w:space="0" w:color="auto"/>
            <w:right w:val="none" w:sz="0" w:space="0" w:color="auto"/>
          </w:divBdr>
          <w:divsChild>
            <w:div w:id="161703162">
              <w:marLeft w:val="0"/>
              <w:marRight w:val="0"/>
              <w:marTop w:val="240"/>
              <w:marBottom w:val="240"/>
              <w:divBdr>
                <w:top w:val="none" w:sz="0" w:space="0" w:color="auto"/>
                <w:left w:val="none" w:sz="0" w:space="0" w:color="auto"/>
                <w:bottom w:val="none" w:sz="0" w:space="0" w:color="auto"/>
                <w:right w:val="none" w:sz="0" w:space="0" w:color="auto"/>
              </w:divBdr>
              <w:divsChild>
                <w:div w:id="1149053855">
                  <w:marLeft w:val="0"/>
                  <w:marRight w:val="180"/>
                  <w:marTop w:val="0"/>
                  <w:marBottom w:val="0"/>
                  <w:divBdr>
                    <w:top w:val="none" w:sz="0" w:space="0" w:color="auto"/>
                    <w:left w:val="none" w:sz="0" w:space="0" w:color="auto"/>
                    <w:bottom w:val="none" w:sz="0" w:space="0" w:color="auto"/>
                    <w:right w:val="none" w:sz="0" w:space="0" w:color="auto"/>
                  </w:divBdr>
                </w:div>
                <w:div w:id="320889292">
                  <w:marLeft w:val="0"/>
                  <w:marRight w:val="120"/>
                  <w:marTop w:val="0"/>
                  <w:marBottom w:val="180"/>
                  <w:divBdr>
                    <w:top w:val="none" w:sz="0" w:space="0" w:color="auto"/>
                    <w:left w:val="none" w:sz="0" w:space="0" w:color="auto"/>
                    <w:bottom w:val="none" w:sz="0" w:space="0" w:color="auto"/>
                    <w:right w:val="none" w:sz="0" w:space="0" w:color="auto"/>
                  </w:divBdr>
                </w:div>
                <w:div w:id="22218898">
                  <w:marLeft w:val="0"/>
                  <w:marRight w:val="120"/>
                  <w:marTop w:val="0"/>
                  <w:marBottom w:val="180"/>
                  <w:divBdr>
                    <w:top w:val="none" w:sz="0" w:space="0" w:color="auto"/>
                    <w:left w:val="none" w:sz="0" w:space="0" w:color="auto"/>
                    <w:bottom w:val="none" w:sz="0" w:space="0" w:color="auto"/>
                    <w:right w:val="none" w:sz="0" w:space="0" w:color="auto"/>
                  </w:divBdr>
                </w:div>
                <w:div w:id="16820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1323">
          <w:marLeft w:val="0"/>
          <w:marRight w:val="0"/>
          <w:marTop w:val="0"/>
          <w:marBottom w:val="0"/>
          <w:divBdr>
            <w:top w:val="none" w:sz="0" w:space="0" w:color="auto"/>
            <w:left w:val="none" w:sz="0" w:space="0" w:color="auto"/>
            <w:bottom w:val="none" w:sz="0" w:space="0" w:color="auto"/>
            <w:right w:val="none" w:sz="0" w:space="0" w:color="auto"/>
          </w:divBdr>
        </w:div>
        <w:div w:id="380901956">
          <w:marLeft w:val="0"/>
          <w:marRight w:val="0"/>
          <w:marTop w:val="0"/>
          <w:marBottom w:val="0"/>
          <w:divBdr>
            <w:top w:val="none" w:sz="0" w:space="0" w:color="auto"/>
            <w:left w:val="none" w:sz="0" w:space="0" w:color="auto"/>
            <w:bottom w:val="none" w:sz="0" w:space="0" w:color="auto"/>
            <w:right w:val="none" w:sz="0" w:space="0" w:color="auto"/>
          </w:divBdr>
        </w:div>
        <w:div w:id="683241479">
          <w:marLeft w:val="0"/>
          <w:marRight w:val="0"/>
          <w:marTop w:val="0"/>
          <w:marBottom w:val="0"/>
          <w:divBdr>
            <w:top w:val="none" w:sz="0" w:space="0" w:color="auto"/>
            <w:left w:val="none" w:sz="0" w:space="0" w:color="auto"/>
            <w:bottom w:val="none" w:sz="0" w:space="0" w:color="auto"/>
            <w:right w:val="none" w:sz="0" w:space="0" w:color="auto"/>
          </w:divBdr>
        </w:div>
      </w:divsChild>
    </w:div>
    <w:div w:id="1986661151">
      <w:bodyDiv w:val="1"/>
      <w:marLeft w:val="0"/>
      <w:marRight w:val="0"/>
      <w:marTop w:val="0"/>
      <w:marBottom w:val="0"/>
      <w:divBdr>
        <w:top w:val="none" w:sz="0" w:space="0" w:color="auto"/>
        <w:left w:val="none" w:sz="0" w:space="0" w:color="auto"/>
        <w:bottom w:val="none" w:sz="0" w:space="0" w:color="auto"/>
        <w:right w:val="none" w:sz="0" w:space="0" w:color="auto"/>
      </w:divBdr>
      <w:divsChild>
        <w:div w:id="1681275434">
          <w:marLeft w:val="0"/>
          <w:marRight w:val="0"/>
          <w:marTop w:val="0"/>
          <w:marBottom w:val="0"/>
          <w:divBdr>
            <w:top w:val="none" w:sz="0" w:space="0" w:color="auto"/>
            <w:left w:val="none" w:sz="0" w:space="0" w:color="auto"/>
            <w:bottom w:val="none" w:sz="0" w:space="0" w:color="auto"/>
            <w:right w:val="none" w:sz="0" w:space="0" w:color="auto"/>
          </w:divBdr>
        </w:div>
        <w:div w:id="1786537083">
          <w:marLeft w:val="0"/>
          <w:marRight w:val="0"/>
          <w:marTop w:val="0"/>
          <w:marBottom w:val="0"/>
          <w:divBdr>
            <w:top w:val="none" w:sz="0" w:space="0" w:color="auto"/>
            <w:left w:val="none" w:sz="0" w:space="0" w:color="auto"/>
            <w:bottom w:val="none" w:sz="0" w:space="0" w:color="auto"/>
            <w:right w:val="none" w:sz="0" w:space="0" w:color="auto"/>
          </w:divBdr>
        </w:div>
      </w:divsChild>
    </w:div>
    <w:div w:id="20719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stagram.com/AntiguaandBarbud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cebook.com/antiguabarbud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witter.com/antiguabarbud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sitantiguabarbuda.com"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d-ma\Downloads\July%202022%20Air%20Arrivals%20Comparis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Antigua and Barbuda Tourism Arrivals</a:t>
            </a:r>
            <a:r>
              <a:rPr lang="en-US" baseline="0"/>
              <a:t> comparison 2022 vs 2019</a:t>
            </a:r>
            <a:endParaRPr lang="en-US"/>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AG"/>
        </a:p>
      </c:txPr>
    </c:title>
    <c:autoTitleDeleted val="0"/>
    <c:plotArea>
      <c:layout/>
      <c:barChart>
        <c:barDir val="col"/>
        <c:grouping val="clustered"/>
        <c:varyColors val="0"/>
        <c:ser>
          <c:idx val="0"/>
          <c:order val="0"/>
          <c:tx>
            <c:strRef>
              <c:f>Sheet1!$B$1</c:f>
              <c:strCache>
                <c:ptCount val="1"/>
                <c:pt idx="0">
                  <c:v>Jul-22</c:v>
                </c:pt>
              </c:strCache>
            </c:strRef>
          </c:tx>
          <c:spPr>
            <a:solidFill>
              <a:schemeClr val="accent1"/>
            </a:solidFill>
            <a:ln>
              <a:noFill/>
            </a:ln>
            <a:effectLst/>
          </c:spPr>
          <c:invertIfNegative val="0"/>
          <c:cat>
            <c:strRef>
              <c:f>Sheet1!$A$4:$A$8</c:f>
              <c:strCache>
                <c:ptCount val="5"/>
                <c:pt idx="0">
                  <c:v>United States</c:v>
                </c:pt>
                <c:pt idx="1">
                  <c:v>Canada</c:v>
                </c:pt>
                <c:pt idx="2">
                  <c:v>Caribbean</c:v>
                </c:pt>
                <c:pt idx="3">
                  <c:v>United Kingdom</c:v>
                </c:pt>
                <c:pt idx="4">
                  <c:v>Other Europe</c:v>
                </c:pt>
              </c:strCache>
              <c:extLst/>
            </c:strRef>
          </c:cat>
          <c:val>
            <c:numRef>
              <c:f>Sheet1!$B$4:$B$8</c:f>
              <c:numCache>
                <c:formatCode>_(* #,##0_);_(* \(#,##0\);_(* "-"??_);_(@_)</c:formatCode>
                <c:ptCount val="5"/>
                <c:pt idx="0">
                  <c:v>13305</c:v>
                </c:pt>
                <c:pt idx="1">
                  <c:v>1253</c:v>
                </c:pt>
                <c:pt idx="2">
                  <c:v>3124</c:v>
                </c:pt>
                <c:pt idx="3">
                  <c:v>5650</c:v>
                </c:pt>
                <c:pt idx="4">
                  <c:v>883</c:v>
                </c:pt>
              </c:numCache>
              <c:extLst/>
            </c:numRef>
          </c:val>
          <c:extLst>
            <c:ext xmlns:c16="http://schemas.microsoft.com/office/drawing/2014/chart" uri="{C3380CC4-5D6E-409C-BE32-E72D297353CC}">
              <c16:uniqueId val="{00000000-A629-43F6-B4D9-C87F932C1C5C}"/>
            </c:ext>
          </c:extLst>
        </c:ser>
        <c:ser>
          <c:idx val="1"/>
          <c:order val="1"/>
          <c:tx>
            <c:strRef>
              <c:f>Sheet1!$D$1</c:f>
              <c:strCache>
                <c:ptCount val="1"/>
                <c:pt idx="0">
                  <c:v>Jul-19</c:v>
                </c:pt>
              </c:strCache>
            </c:strRef>
          </c:tx>
          <c:spPr>
            <a:solidFill>
              <a:schemeClr val="accent2"/>
            </a:solidFill>
            <a:ln>
              <a:noFill/>
            </a:ln>
            <a:effectLst/>
          </c:spPr>
          <c:invertIfNegative val="0"/>
          <c:cat>
            <c:strRef>
              <c:f>Sheet1!$A$4:$A$8</c:f>
              <c:strCache>
                <c:ptCount val="5"/>
                <c:pt idx="0">
                  <c:v>United States</c:v>
                </c:pt>
                <c:pt idx="1">
                  <c:v>Canada</c:v>
                </c:pt>
                <c:pt idx="2">
                  <c:v>Caribbean</c:v>
                </c:pt>
                <c:pt idx="3">
                  <c:v>United Kingdom</c:v>
                </c:pt>
                <c:pt idx="4">
                  <c:v>Other Europe</c:v>
                </c:pt>
              </c:strCache>
              <c:extLst/>
            </c:strRef>
          </c:cat>
          <c:val>
            <c:numRef>
              <c:f>Sheet1!$D$4:$D$8</c:f>
              <c:numCache>
                <c:formatCode>_(* #,##0_);_(* \(#,##0\);_(* "-"??_);_(@_)</c:formatCode>
                <c:ptCount val="5"/>
                <c:pt idx="0">
                  <c:v>10221</c:v>
                </c:pt>
                <c:pt idx="1">
                  <c:v>1244</c:v>
                </c:pt>
                <c:pt idx="2">
                  <c:v>3856</c:v>
                </c:pt>
                <c:pt idx="3">
                  <c:v>5378</c:v>
                </c:pt>
                <c:pt idx="4">
                  <c:v>238</c:v>
                </c:pt>
              </c:numCache>
              <c:extLst/>
            </c:numRef>
          </c:val>
          <c:extLst>
            <c:ext xmlns:c16="http://schemas.microsoft.com/office/drawing/2014/chart" uri="{C3380CC4-5D6E-409C-BE32-E72D297353CC}">
              <c16:uniqueId val="{00000001-A629-43F6-B4D9-C87F932C1C5C}"/>
            </c:ext>
          </c:extLst>
        </c:ser>
        <c:dLbls>
          <c:showLegendKey val="0"/>
          <c:showVal val="0"/>
          <c:showCatName val="0"/>
          <c:showSerName val="0"/>
          <c:showPercent val="0"/>
          <c:showBubbleSize val="0"/>
        </c:dLbls>
        <c:gapWidth val="269"/>
        <c:overlap val="-27"/>
        <c:axId val="486583280"/>
        <c:axId val="486581200"/>
      </c:barChart>
      <c:lineChart>
        <c:grouping val="standard"/>
        <c:varyColors val="0"/>
        <c:ser>
          <c:idx val="2"/>
          <c:order val="2"/>
          <c:tx>
            <c:strRef>
              <c:f>Sheet1!$F$1</c:f>
              <c:strCache>
                <c:ptCount val="1"/>
                <c:pt idx="0">
                  <c:v> % Variance 22/19</c:v>
                </c:pt>
              </c:strCache>
            </c:strRef>
          </c:tx>
          <c:spPr>
            <a:ln w="38100"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AG"/>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Sheet1!$A$4:$A$8</c:f>
              <c:strCache>
                <c:ptCount val="5"/>
                <c:pt idx="0">
                  <c:v>United States</c:v>
                </c:pt>
                <c:pt idx="1">
                  <c:v>Canada</c:v>
                </c:pt>
                <c:pt idx="2">
                  <c:v>Caribbean</c:v>
                </c:pt>
                <c:pt idx="3">
                  <c:v>United Kingdom</c:v>
                </c:pt>
                <c:pt idx="4">
                  <c:v>Other Europe</c:v>
                </c:pt>
              </c:strCache>
              <c:extLst/>
            </c:strRef>
          </c:cat>
          <c:val>
            <c:numRef>
              <c:f>Sheet1!$F$4:$F$8</c:f>
              <c:numCache>
                <c:formatCode>0%</c:formatCode>
                <c:ptCount val="5"/>
                <c:pt idx="0">
                  <c:v>0.30173172879366011</c:v>
                </c:pt>
                <c:pt idx="1">
                  <c:v>7.2347266881028936E-3</c:v>
                </c:pt>
                <c:pt idx="2">
                  <c:v>-0.18983402489626555</c:v>
                </c:pt>
                <c:pt idx="3">
                  <c:v>5.0576422461881737E-2</c:v>
                </c:pt>
                <c:pt idx="4">
                  <c:v>2.7100840336134455</c:v>
                </c:pt>
              </c:numCache>
              <c:extLst/>
            </c:numRef>
          </c:val>
          <c:smooth val="0"/>
          <c:extLst>
            <c:ext xmlns:c16="http://schemas.microsoft.com/office/drawing/2014/chart" uri="{C3380CC4-5D6E-409C-BE32-E72D297353CC}">
              <c16:uniqueId val="{00000002-A629-43F6-B4D9-C87F932C1C5C}"/>
            </c:ext>
          </c:extLst>
        </c:ser>
        <c:dLbls>
          <c:showLegendKey val="0"/>
          <c:showVal val="0"/>
          <c:showCatName val="0"/>
          <c:showSerName val="0"/>
          <c:showPercent val="0"/>
          <c:showBubbleSize val="0"/>
        </c:dLbls>
        <c:marker val="1"/>
        <c:smooth val="0"/>
        <c:axId val="486583696"/>
        <c:axId val="486582448"/>
      </c:lineChart>
      <c:catAx>
        <c:axId val="4865832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AG"/>
          </a:p>
        </c:txPr>
        <c:crossAx val="486581200"/>
        <c:crosses val="autoZero"/>
        <c:auto val="1"/>
        <c:lblAlgn val="ctr"/>
        <c:lblOffset val="100"/>
        <c:noMultiLvlLbl val="0"/>
      </c:catAx>
      <c:valAx>
        <c:axId val="4865812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AG"/>
          </a:p>
        </c:txPr>
        <c:crossAx val="486583280"/>
        <c:crosses val="autoZero"/>
        <c:crossBetween val="between"/>
      </c:valAx>
      <c:valAx>
        <c:axId val="486582448"/>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AG"/>
          </a:p>
        </c:txPr>
        <c:crossAx val="486583696"/>
        <c:crosses val="max"/>
        <c:crossBetween val="between"/>
      </c:valAx>
      <c:catAx>
        <c:axId val="486583696"/>
        <c:scaling>
          <c:orientation val="minMax"/>
        </c:scaling>
        <c:delete val="1"/>
        <c:axPos val="b"/>
        <c:numFmt formatCode="General" sourceLinked="1"/>
        <c:majorTickMark val="out"/>
        <c:minorTickMark val="none"/>
        <c:tickLblPos val="nextTo"/>
        <c:crossAx val="486582448"/>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AG"/>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A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5AFA6-A763-2D4E-8864-38EBF277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 Blackman</cp:lastModifiedBy>
  <cp:revision>11</cp:revision>
  <cp:lastPrinted>2022-06-27T16:55:00Z</cp:lastPrinted>
  <dcterms:created xsi:type="dcterms:W3CDTF">2022-08-17T19:19:00Z</dcterms:created>
  <dcterms:modified xsi:type="dcterms:W3CDTF">2022-08-22T15:51:00Z</dcterms:modified>
</cp:coreProperties>
</file>