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3402"/>
        <w:gridCol w:w="3544"/>
      </w:tblGrid>
      <w:tr w:rsidR="00501346" w14:paraId="6E6491A8" w14:textId="77777777" w:rsidTr="6FBCD926">
        <w:tc>
          <w:tcPr>
            <w:tcW w:w="9351" w:type="dxa"/>
            <w:gridSpan w:val="3"/>
            <w:shd w:val="clear" w:color="auto" w:fill="D9D9D9" w:themeFill="background1" w:themeFillShade="D9"/>
          </w:tcPr>
          <w:p w14:paraId="058C9622" w14:textId="1FEFFFFC" w:rsidR="00501346" w:rsidRDefault="006D455F" w:rsidP="006D45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EC72C9" wp14:editId="6FBCD926">
                  <wp:extent cx="457200" cy="523875"/>
                  <wp:effectExtent l="0" t="0" r="0" b="9525"/>
                  <wp:docPr id="1097565012" name="Picture 1" descr="C:\Users\Ministry of Health\Downloads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D87C2D" w14:textId="77777777" w:rsidR="00501346" w:rsidRPr="00501346" w:rsidRDefault="00501346" w:rsidP="00501346">
            <w:pPr>
              <w:jc w:val="center"/>
              <w:rPr>
                <w:b/>
                <w:bCs/>
                <w:sz w:val="28"/>
                <w:szCs w:val="28"/>
              </w:rPr>
            </w:pPr>
            <w:r w:rsidRPr="00501346">
              <w:rPr>
                <w:b/>
                <w:bCs/>
                <w:sz w:val="28"/>
                <w:szCs w:val="28"/>
              </w:rPr>
              <w:t>MINISTRY OF TOURISM &amp; INVESTMENT</w:t>
            </w:r>
          </w:p>
          <w:p w14:paraId="503CEB07" w14:textId="05049561" w:rsidR="00501346" w:rsidRDefault="007D44B1" w:rsidP="0050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YACHTING ENTRY AND CLEARANCE PROTOCOL GUIDELINES</w:t>
            </w:r>
          </w:p>
          <w:p w14:paraId="6B3F170F" w14:textId="47883A99" w:rsidR="00501346" w:rsidRDefault="00501346" w:rsidP="00A44A72">
            <w:pPr>
              <w:jc w:val="center"/>
            </w:pPr>
          </w:p>
        </w:tc>
      </w:tr>
      <w:tr w:rsidR="00501346" w14:paraId="16837603" w14:textId="77777777" w:rsidTr="6FBCD926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13E600" w14:textId="7B0A84E0" w:rsidR="00D90BB4" w:rsidRDefault="00501346" w:rsidP="00501346">
            <w:pPr>
              <w:rPr>
                <w:b/>
                <w:bCs/>
              </w:rPr>
            </w:pPr>
            <w:r w:rsidRPr="00501346">
              <w:t xml:space="preserve"> </w:t>
            </w:r>
          </w:p>
          <w:p w14:paraId="30C50F15" w14:textId="24CD0D21" w:rsidR="00501346" w:rsidRPr="00361F4E" w:rsidRDefault="007D44B1" w:rsidP="00501346">
            <w:pPr>
              <w:rPr>
                <w:b/>
                <w:bCs/>
              </w:rPr>
            </w:pPr>
            <w:r>
              <w:rPr>
                <w:b/>
                <w:bCs/>
              </w:rPr>
              <w:t>Proposed implementation date:</w:t>
            </w:r>
          </w:p>
        </w:tc>
        <w:tc>
          <w:tcPr>
            <w:tcW w:w="3402" w:type="dxa"/>
          </w:tcPr>
          <w:p w14:paraId="4A6CB05C" w14:textId="77777777" w:rsidR="00501346" w:rsidRDefault="00501346" w:rsidP="00501346"/>
          <w:p w14:paraId="12E06582" w14:textId="0F23C5F9" w:rsidR="007D44B1" w:rsidRDefault="007D44B1" w:rsidP="00501346">
            <w:r>
              <w:t>15</w:t>
            </w:r>
            <w:r w:rsidRPr="007D44B1">
              <w:rPr>
                <w:vertAlign w:val="superscript"/>
              </w:rPr>
              <w:t>th</w:t>
            </w:r>
            <w:r>
              <w:t xml:space="preserve"> September 2020</w:t>
            </w:r>
          </w:p>
        </w:tc>
        <w:tc>
          <w:tcPr>
            <w:tcW w:w="3544" w:type="dxa"/>
          </w:tcPr>
          <w:p w14:paraId="03A8175E" w14:textId="77777777" w:rsidR="006A37CE" w:rsidRDefault="006A37CE" w:rsidP="00501346"/>
          <w:p w14:paraId="24F73DD0" w14:textId="175C359C" w:rsidR="006A37CE" w:rsidRDefault="00501346" w:rsidP="006A37CE">
            <w:r>
              <w:t xml:space="preserve">Reviewer: </w:t>
            </w:r>
            <w:proofErr w:type="spellStart"/>
            <w:r w:rsidR="006A37CE">
              <w:t>Honourable</w:t>
            </w:r>
            <w:proofErr w:type="spellEnd"/>
            <w:r w:rsidR="006A37CE">
              <w:t xml:space="preserve"> Charles Fernandez,</w:t>
            </w:r>
          </w:p>
          <w:p w14:paraId="45A2EDA4" w14:textId="57313F74" w:rsidR="00501346" w:rsidRDefault="006A37CE" w:rsidP="006A37CE">
            <w:r>
              <w:t xml:space="preserve">Minister of Tourism &amp; Investment </w:t>
            </w:r>
          </w:p>
        </w:tc>
      </w:tr>
    </w:tbl>
    <w:p w14:paraId="3438FEB6" w14:textId="77777777" w:rsidR="007D44B1" w:rsidRDefault="007D44B1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05"/>
        <w:gridCol w:w="6950"/>
      </w:tblGrid>
      <w:tr w:rsidR="007D44B1" w14:paraId="07D36687" w14:textId="77777777" w:rsidTr="6550A75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7933D09" w14:textId="0B6DF72F" w:rsidR="007D44B1" w:rsidRPr="006A37CE" w:rsidRDefault="007D44B1" w:rsidP="007D44B1">
            <w:pPr>
              <w:spacing w:line="259" w:lineRule="auto"/>
              <w:jc w:val="center"/>
            </w:pPr>
            <w:r>
              <w:t>Contributions by:</w:t>
            </w:r>
          </w:p>
        </w:tc>
        <w:tc>
          <w:tcPr>
            <w:tcW w:w="6950" w:type="dxa"/>
          </w:tcPr>
          <w:p w14:paraId="3045DBA2" w14:textId="77777777" w:rsidR="007D44B1" w:rsidRDefault="007D44B1" w:rsidP="007D44B1">
            <w:pPr>
              <w:pStyle w:val="ListParagraph"/>
              <w:spacing w:line="276" w:lineRule="auto"/>
            </w:pPr>
          </w:p>
          <w:p w14:paraId="1E2EF438" w14:textId="6A6E9B39" w:rsidR="007D44B1" w:rsidRDefault="007D44B1" w:rsidP="007D44B1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Ministry of Health, Wellness &amp; the Environment – Central Board of Health</w:t>
            </w:r>
          </w:p>
          <w:p w14:paraId="0F2EA46C" w14:textId="77777777" w:rsidR="007D44B1" w:rsidRDefault="007D44B1" w:rsidP="007D44B1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Ministry of Tourism &amp; Investment</w:t>
            </w:r>
          </w:p>
          <w:p w14:paraId="4F5C7ABB" w14:textId="77777777" w:rsidR="007D44B1" w:rsidRDefault="007D44B1" w:rsidP="007D44B1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Marine Trade Association</w:t>
            </w:r>
          </w:p>
          <w:p w14:paraId="07071983" w14:textId="36D65252" w:rsidR="007D44B1" w:rsidRDefault="007D44B1" w:rsidP="007D44B1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 xml:space="preserve">Antigua and Barbuda </w:t>
            </w:r>
            <w:r w:rsidR="05F8BEDE">
              <w:t xml:space="preserve">Marine </w:t>
            </w:r>
            <w:r>
              <w:t>Association</w:t>
            </w:r>
          </w:p>
          <w:p w14:paraId="07CFD2AC" w14:textId="0BABCC01" w:rsidR="007D44B1" w:rsidRDefault="007D44B1" w:rsidP="007D44B1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Customs Division</w:t>
            </w:r>
          </w:p>
          <w:p w14:paraId="58BE09D8" w14:textId="68F26811" w:rsidR="007D44B1" w:rsidRDefault="007D44B1" w:rsidP="007D44B1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National Parks Authority</w:t>
            </w:r>
          </w:p>
          <w:p w14:paraId="2A62CC23" w14:textId="77777777" w:rsidR="007D44B1" w:rsidRDefault="007D44B1" w:rsidP="007D44B1">
            <w:pPr>
              <w:spacing w:line="276" w:lineRule="auto"/>
            </w:pPr>
          </w:p>
          <w:p w14:paraId="645870E0" w14:textId="366A62F3" w:rsidR="007D44B1" w:rsidRDefault="007D44B1"/>
        </w:tc>
      </w:tr>
    </w:tbl>
    <w:p w14:paraId="79E1F05E" w14:textId="0503A487" w:rsidR="005A4A6C" w:rsidRDefault="005A4A6C" w:rsidP="005013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1C7A" w14:paraId="5D8FA10B" w14:textId="77777777" w:rsidTr="00A31C7A">
        <w:tc>
          <w:tcPr>
            <w:tcW w:w="9350" w:type="dxa"/>
            <w:shd w:val="clear" w:color="auto" w:fill="D9D9D9" w:themeFill="background1" w:themeFillShade="D9"/>
          </w:tcPr>
          <w:p w14:paraId="4F4678A8" w14:textId="193049E2" w:rsidR="00A31C7A" w:rsidRPr="00361F4E" w:rsidRDefault="00361F4E" w:rsidP="000874B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0"/>
              <w:rPr>
                <w:b/>
                <w:bCs/>
              </w:rPr>
            </w:pPr>
            <w:r w:rsidRPr="00361F4E">
              <w:rPr>
                <w:b/>
                <w:bCs/>
              </w:rPr>
              <w:t>Introduction</w:t>
            </w:r>
          </w:p>
        </w:tc>
      </w:tr>
    </w:tbl>
    <w:p w14:paraId="12809303" w14:textId="1453F348" w:rsidR="00A31C7A" w:rsidRDefault="00A31C7A" w:rsidP="00A31C7A">
      <w:pPr>
        <w:spacing w:line="276" w:lineRule="auto"/>
      </w:pPr>
    </w:p>
    <w:p w14:paraId="73A8DF9A" w14:textId="4B082D86" w:rsidR="00361F4E" w:rsidRDefault="00361F4E" w:rsidP="00361F4E">
      <w:pPr>
        <w:spacing w:line="276" w:lineRule="auto"/>
        <w:jc w:val="both"/>
      </w:pPr>
      <w:r>
        <w:t xml:space="preserve">The Novel Coronavirus Pandemic and the resultant COVID-19 global crisis have resulted in a dramatic change to the ways in which the Government of Antigua and Barbuda and its related state-owned enterprises are required to work. The complete shutdown of the tourism industry has resulted in double digit unemployment and a serious impact on GDP. </w:t>
      </w:r>
      <w:r w:rsidR="000A50C6">
        <w:t>To resuscitate employment and the overall economy, a gradual reopening of the tourism industry will require a new level of responsibility that balances health objectives with the need for reestablishing economic activity.</w:t>
      </w:r>
    </w:p>
    <w:p w14:paraId="0F41D0A9" w14:textId="77777777" w:rsidR="005A4A6C" w:rsidRDefault="005A4A6C" w:rsidP="00361F4E">
      <w:pPr>
        <w:spacing w:line="276" w:lineRule="auto"/>
        <w:jc w:val="both"/>
      </w:pPr>
    </w:p>
    <w:p w14:paraId="375D1B84" w14:textId="67F517E3" w:rsidR="00361F4E" w:rsidRPr="000A50C6" w:rsidRDefault="00361F4E" w:rsidP="00361F4E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bCs/>
        </w:rPr>
      </w:pPr>
      <w:r w:rsidRPr="000A50C6">
        <w:rPr>
          <w:b/>
          <w:bCs/>
        </w:rPr>
        <w:t>Purpose</w:t>
      </w:r>
    </w:p>
    <w:p w14:paraId="70E09D04" w14:textId="53804ABF" w:rsidR="000A50C6" w:rsidRDefault="00361F4E" w:rsidP="00E7028A">
      <w:pPr>
        <w:pStyle w:val="ListParagraph"/>
        <w:spacing w:line="276" w:lineRule="auto"/>
        <w:ind w:left="1080"/>
        <w:jc w:val="both"/>
      </w:pPr>
      <w:r>
        <w:t xml:space="preserve">To provide </w:t>
      </w:r>
      <w:r w:rsidR="00DA54A1">
        <w:t>a process that</w:t>
      </w:r>
      <w:r w:rsidR="009E2F4D">
        <w:t xml:space="preserve"> minimizes errors and mitigate</w:t>
      </w:r>
      <w:r w:rsidR="008B636C">
        <w:t>s</w:t>
      </w:r>
      <w:r w:rsidR="00DA54A1">
        <w:t xml:space="preserve"> </w:t>
      </w:r>
      <w:r w:rsidR="008B636C">
        <w:t xml:space="preserve">risk </w:t>
      </w:r>
      <w:r w:rsidR="00DA54A1">
        <w:t>on unavoidable con</w:t>
      </w:r>
      <w:r w:rsidR="009F44C3">
        <w:t>tact, and in so doing, promotes a safe and friendly environment for all involved</w:t>
      </w:r>
      <w:r w:rsidR="008B636C">
        <w:t>.</w:t>
      </w:r>
    </w:p>
    <w:p w14:paraId="09AC68D1" w14:textId="77777777" w:rsidR="000A50C6" w:rsidRDefault="000A50C6" w:rsidP="000A50C6">
      <w:pPr>
        <w:pStyle w:val="ListParagraph"/>
        <w:spacing w:line="276" w:lineRule="auto"/>
        <w:ind w:left="1080"/>
        <w:jc w:val="both"/>
      </w:pPr>
    </w:p>
    <w:p w14:paraId="648E7722" w14:textId="363DE049" w:rsidR="000A50C6" w:rsidRPr="00B247DE" w:rsidRDefault="000A50C6" w:rsidP="000A50C6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bCs/>
        </w:rPr>
      </w:pPr>
      <w:r w:rsidRPr="00B247DE">
        <w:rPr>
          <w:b/>
          <w:bCs/>
        </w:rPr>
        <w:t>Implementation</w:t>
      </w:r>
    </w:p>
    <w:p w14:paraId="7ED2197F" w14:textId="33EE9D49" w:rsidR="000A50C6" w:rsidRDefault="000A50C6" w:rsidP="000A50C6">
      <w:pPr>
        <w:spacing w:line="276" w:lineRule="auto"/>
        <w:ind w:left="1080"/>
        <w:jc w:val="both"/>
      </w:pPr>
      <w:r>
        <w:t xml:space="preserve">It is the responsibility of the identified authorities to ensure that all relevant entities within their purview are aware of and understand this policy and </w:t>
      </w:r>
      <w:r w:rsidR="009F44C3">
        <w:t>have direct responsibility for its implementation.</w:t>
      </w:r>
    </w:p>
    <w:p w14:paraId="0A4437F4" w14:textId="77777777" w:rsidR="00396293" w:rsidRDefault="00396293" w:rsidP="000A50C6">
      <w:pPr>
        <w:spacing w:line="276" w:lineRule="auto"/>
        <w:ind w:left="108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7DE" w14:paraId="3837F10A" w14:textId="77777777" w:rsidTr="072A65BB">
        <w:tc>
          <w:tcPr>
            <w:tcW w:w="9350" w:type="dxa"/>
            <w:shd w:val="clear" w:color="auto" w:fill="D9D9D9" w:themeFill="background1" w:themeFillShade="D9"/>
          </w:tcPr>
          <w:p w14:paraId="4BFCB1A5" w14:textId="6B9C4ED1" w:rsidR="00B247DE" w:rsidRPr="00B247DE" w:rsidRDefault="00B247DE" w:rsidP="000874B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0"/>
              <w:jc w:val="both"/>
              <w:rPr>
                <w:b/>
                <w:bCs/>
              </w:rPr>
            </w:pPr>
            <w:r w:rsidRPr="00B247DE">
              <w:rPr>
                <w:b/>
                <w:bCs/>
              </w:rPr>
              <w:t>Legal Requirements</w:t>
            </w:r>
          </w:p>
        </w:tc>
      </w:tr>
    </w:tbl>
    <w:p w14:paraId="7FA6873D" w14:textId="47D01D81" w:rsidR="00B247DE" w:rsidRDefault="00B247DE" w:rsidP="00B247DE">
      <w:pPr>
        <w:spacing w:line="276" w:lineRule="auto"/>
        <w:jc w:val="both"/>
      </w:pPr>
    </w:p>
    <w:p w14:paraId="1608A772" w14:textId="479266F2" w:rsidR="00B247DE" w:rsidRPr="000461E7" w:rsidRDefault="000461E7" w:rsidP="000461E7">
      <w:pPr>
        <w:spacing w:line="276" w:lineRule="auto"/>
        <w:ind w:left="720"/>
        <w:jc w:val="both"/>
        <w:rPr>
          <w:i/>
          <w:iCs/>
        </w:rPr>
      </w:pPr>
      <w:r>
        <w:rPr>
          <w:i/>
          <w:iCs/>
        </w:rPr>
        <w:t>As s</w:t>
      </w:r>
      <w:r w:rsidR="00B247DE" w:rsidRPr="000461E7">
        <w:rPr>
          <w:i/>
          <w:iCs/>
        </w:rPr>
        <w:t>tated in accordance</w:t>
      </w:r>
      <w:r w:rsidR="007857D7">
        <w:rPr>
          <w:i/>
          <w:iCs/>
        </w:rPr>
        <w:t xml:space="preserve"> with the relevant laws of </w:t>
      </w:r>
      <w:r w:rsidR="00B247DE" w:rsidRPr="000461E7">
        <w:rPr>
          <w:i/>
          <w:iCs/>
        </w:rPr>
        <w:t>Antigua and Barbuda</w:t>
      </w:r>
      <w:r w:rsidR="009A24B7">
        <w:rPr>
          <w:i/>
          <w:iCs/>
        </w:rPr>
        <w:t xml:space="preserve"> including the Quarantine Act and the Public Health Act.</w:t>
      </w:r>
    </w:p>
    <w:p w14:paraId="7DC9088D" w14:textId="5928B7AB" w:rsidR="000874BE" w:rsidRDefault="000874BE" w:rsidP="00B247DE">
      <w:pPr>
        <w:spacing w:line="276" w:lineRule="auto"/>
        <w:jc w:val="both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7DE" w14:paraId="68AA0DB7" w14:textId="77777777" w:rsidTr="072A65BB">
        <w:tc>
          <w:tcPr>
            <w:tcW w:w="9350" w:type="dxa"/>
            <w:shd w:val="clear" w:color="auto" w:fill="D9D9D9" w:themeFill="background1" w:themeFillShade="D9"/>
          </w:tcPr>
          <w:p w14:paraId="1A131219" w14:textId="434B6D69" w:rsidR="00B247DE" w:rsidRPr="00B247DE" w:rsidRDefault="007D44B1" w:rsidP="008F449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Pre-Arrival</w:t>
            </w:r>
          </w:p>
        </w:tc>
      </w:tr>
    </w:tbl>
    <w:p w14:paraId="2442F32B" w14:textId="532A6A15" w:rsidR="072A65BB" w:rsidRPr="00545C35" w:rsidRDefault="00AF1C0D">
      <w:pPr>
        <w:rPr>
          <w:b/>
          <w:bCs/>
          <w:color w:val="FF0000"/>
          <w:sz w:val="24"/>
          <w:szCs w:val="24"/>
        </w:rPr>
      </w:pPr>
      <w:r w:rsidRPr="00545C35">
        <w:rPr>
          <w:b/>
          <w:bCs/>
          <w:color w:val="FF0000"/>
          <w:sz w:val="24"/>
          <w:szCs w:val="24"/>
        </w:rPr>
        <w:t xml:space="preserve">The authorized ports of entry shall be Nelson’s Dockyard and Jolly </w:t>
      </w:r>
      <w:proofErr w:type="spellStart"/>
      <w:r w:rsidRPr="00545C35">
        <w:rPr>
          <w:b/>
          <w:bCs/>
          <w:color w:val="FF0000"/>
          <w:sz w:val="24"/>
          <w:szCs w:val="24"/>
        </w:rPr>
        <w:t>Harbour</w:t>
      </w:r>
      <w:proofErr w:type="spellEnd"/>
    </w:p>
    <w:p w14:paraId="5FDB6420" w14:textId="0EE334D4" w:rsidR="007D44B1" w:rsidRDefault="007D44B1" w:rsidP="00181EDD">
      <w:pPr>
        <w:pStyle w:val="ListParagraph"/>
        <w:numPr>
          <w:ilvl w:val="1"/>
          <w:numId w:val="24"/>
        </w:numPr>
        <w:ind w:left="1440" w:hanging="450"/>
      </w:pPr>
      <w:r>
        <w:t>All crew and skippers to have a Negative PCR Covid-19 test result within seven days prior to travel, though preferred within the previous 72 hours.</w:t>
      </w:r>
    </w:p>
    <w:p w14:paraId="3D6E5BAB" w14:textId="77777777" w:rsidR="00181EDD" w:rsidRDefault="00181EDD" w:rsidP="00181EDD">
      <w:pPr>
        <w:pStyle w:val="ListParagraph"/>
        <w:ind w:left="1440"/>
      </w:pPr>
    </w:p>
    <w:p w14:paraId="6957222A" w14:textId="4DBF80DE" w:rsidR="007D44B1" w:rsidRDefault="007D44B1" w:rsidP="00181EDD">
      <w:pPr>
        <w:pStyle w:val="ListParagraph"/>
        <w:numPr>
          <w:ilvl w:val="1"/>
          <w:numId w:val="24"/>
        </w:numPr>
        <w:ind w:left="1440" w:hanging="450"/>
      </w:pPr>
      <w:r>
        <w:t>Daily monitoring and logging of temperatures and any signs or symptoms.</w:t>
      </w:r>
    </w:p>
    <w:p w14:paraId="412A07D5" w14:textId="77777777" w:rsidR="00181EDD" w:rsidRDefault="00181EDD" w:rsidP="00181EDD">
      <w:pPr>
        <w:pStyle w:val="ListParagraph"/>
      </w:pPr>
    </w:p>
    <w:p w14:paraId="434B2CB4" w14:textId="78F34A30" w:rsidR="005A4A6C" w:rsidRPr="00181EDD" w:rsidRDefault="007D44B1" w:rsidP="00181EDD">
      <w:pPr>
        <w:pStyle w:val="ListParagraph"/>
        <w:numPr>
          <w:ilvl w:val="1"/>
          <w:numId w:val="24"/>
        </w:numPr>
        <w:ind w:left="1440" w:hanging="450"/>
        <w:rPr>
          <w:b/>
          <w:bCs/>
        </w:rPr>
      </w:pPr>
      <w:r>
        <w:t xml:space="preserve">Once possible, yachts will be expected to submit their </w:t>
      </w:r>
      <w:proofErr w:type="spellStart"/>
      <w:r>
        <w:t>Eseaclear</w:t>
      </w:r>
      <w:proofErr w:type="spellEnd"/>
      <w:r>
        <w:t xml:space="preserve"> declarations in advance of arrival</w:t>
      </w:r>
      <w:r w:rsidR="00181EDD">
        <w:t xml:space="preserve"> and </w:t>
      </w:r>
      <w:r>
        <w:t>uploading the health declarations for all people on board, so that the Health Authorities may assess risk on board prior to arrival of the vessel.</w:t>
      </w:r>
    </w:p>
    <w:p w14:paraId="11A5F32E" w14:textId="77777777" w:rsidR="00181EDD" w:rsidRPr="00181EDD" w:rsidRDefault="00181EDD" w:rsidP="00181EDD">
      <w:pPr>
        <w:pStyle w:val="ListParagraph"/>
        <w:ind w:left="144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7DE" w14:paraId="1AD400CB" w14:textId="77777777" w:rsidTr="072A65BB">
        <w:tc>
          <w:tcPr>
            <w:tcW w:w="9350" w:type="dxa"/>
            <w:shd w:val="clear" w:color="auto" w:fill="D9D9D9" w:themeFill="background1" w:themeFillShade="D9"/>
          </w:tcPr>
          <w:p w14:paraId="6B82FA94" w14:textId="1DD9A9DB" w:rsidR="00B247DE" w:rsidRPr="00B247DE" w:rsidRDefault="004705D8" w:rsidP="008F4494">
            <w:pPr>
              <w:pStyle w:val="ListParagraph"/>
              <w:numPr>
                <w:ilvl w:val="0"/>
                <w:numId w:val="25"/>
              </w:numPr>
              <w:ind w:left="333"/>
              <w:rPr>
                <w:b/>
                <w:bCs/>
              </w:rPr>
            </w:pPr>
            <w:r>
              <w:br w:type="page"/>
            </w:r>
            <w:r w:rsidR="00181EDD">
              <w:rPr>
                <w:b/>
              </w:rPr>
              <w:t>On Arrival – Yacht Clearance &amp; Health Screening</w:t>
            </w:r>
          </w:p>
        </w:tc>
      </w:tr>
    </w:tbl>
    <w:p w14:paraId="389C9F23" w14:textId="77777777" w:rsidR="00B247DE" w:rsidRDefault="00B247DE" w:rsidP="00B247DE"/>
    <w:p w14:paraId="5A067C39" w14:textId="1620EF37" w:rsidR="00181EDD" w:rsidRPr="00181EDD" w:rsidRDefault="00181EDD" w:rsidP="00181EDD">
      <w:pPr>
        <w:pStyle w:val="ListParagraph"/>
        <w:numPr>
          <w:ilvl w:val="1"/>
          <w:numId w:val="25"/>
        </w:numPr>
        <w:ind w:left="1440" w:hanging="450"/>
        <w:rPr>
          <w:b/>
          <w:bCs/>
        </w:rPr>
      </w:pPr>
      <w:r>
        <w:rPr>
          <w:b/>
          <w:bCs/>
        </w:rPr>
        <w:t>Suggested requirements for Port Health Station</w:t>
      </w:r>
      <w:r w:rsidRPr="00181EDD">
        <w:rPr>
          <w:b/>
          <w:bCs/>
        </w:rPr>
        <w:t>:</w:t>
      </w:r>
    </w:p>
    <w:p w14:paraId="1F11521D" w14:textId="77777777" w:rsidR="00181EDD" w:rsidRDefault="00181EDD" w:rsidP="00181EDD">
      <w:pPr>
        <w:pStyle w:val="ListParagraph"/>
        <w:numPr>
          <w:ilvl w:val="2"/>
          <w:numId w:val="25"/>
        </w:numPr>
        <w:spacing w:after="0" w:line="240" w:lineRule="auto"/>
        <w:ind w:left="2160"/>
      </w:pPr>
      <w:r>
        <w:t>Minimum of two Port health Officers at each port of entry.</w:t>
      </w:r>
    </w:p>
    <w:p w14:paraId="7687F2EE" w14:textId="77777777" w:rsidR="00181EDD" w:rsidRDefault="00181EDD" w:rsidP="00181EDD">
      <w:pPr>
        <w:pStyle w:val="ListParagraph"/>
        <w:numPr>
          <w:ilvl w:val="2"/>
          <w:numId w:val="25"/>
        </w:numPr>
        <w:spacing w:after="0" w:line="240" w:lineRule="auto"/>
        <w:ind w:left="2160"/>
      </w:pPr>
      <w:r>
        <w:t xml:space="preserve">Holding Areas for vessels deemed high risk and for those vessels who have not submitted </w:t>
      </w:r>
      <w:proofErr w:type="spellStart"/>
      <w:r>
        <w:t>Eseaclear</w:t>
      </w:r>
      <w:proofErr w:type="spellEnd"/>
      <w:r>
        <w:t>.</w:t>
      </w:r>
    </w:p>
    <w:p w14:paraId="587F90D7" w14:textId="77777777" w:rsidR="00181EDD" w:rsidRDefault="00181EDD" w:rsidP="00181EDD">
      <w:pPr>
        <w:pStyle w:val="ListParagraph"/>
        <w:numPr>
          <w:ilvl w:val="2"/>
          <w:numId w:val="25"/>
        </w:numPr>
        <w:spacing w:after="0" w:line="240" w:lineRule="auto"/>
        <w:ind w:left="2160"/>
      </w:pPr>
      <w:r>
        <w:t>Quarantine areas for vessels and for individuals completing their quarantine time.</w:t>
      </w:r>
    </w:p>
    <w:p w14:paraId="30E47607" w14:textId="77777777" w:rsidR="00181EDD" w:rsidRDefault="00181EDD" w:rsidP="00181EDD">
      <w:pPr>
        <w:pStyle w:val="ListParagraph"/>
        <w:numPr>
          <w:ilvl w:val="2"/>
          <w:numId w:val="25"/>
        </w:numPr>
        <w:spacing w:after="0" w:line="240" w:lineRule="auto"/>
        <w:ind w:left="2160"/>
      </w:pPr>
      <w:r>
        <w:t>A PCR testing facility at the ports of entry. (Outbound tests also should be readily available for those who require them).</w:t>
      </w:r>
    </w:p>
    <w:p w14:paraId="515DFF8B" w14:textId="77777777" w:rsidR="009E2F4D" w:rsidRDefault="009E2F4D" w:rsidP="009E2F4D">
      <w:pPr>
        <w:pStyle w:val="ListParagraph"/>
        <w:ind w:left="1080"/>
        <w:rPr>
          <w:b/>
          <w:bCs/>
        </w:rPr>
      </w:pPr>
    </w:p>
    <w:p w14:paraId="1CDDE08C" w14:textId="55793964" w:rsidR="009E2F4D" w:rsidRPr="009E2F4D" w:rsidRDefault="008F4494" w:rsidP="008F4494">
      <w:pPr>
        <w:pStyle w:val="ListParagraph"/>
        <w:numPr>
          <w:ilvl w:val="1"/>
          <w:numId w:val="25"/>
        </w:numPr>
        <w:ind w:left="1440" w:hanging="450"/>
        <w:rPr>
          <w:b/>
          <w:bCs/>
        </w:rPr>
      </w:pPr>
      <w:r>
        <w:rPr>
          <w:b/>
          <w:bCs/>
        </w:rPr>
        <w:t>Vessel Clearance requirements</w:t>
      </w:r>
    </w:p>
    <w:p w14:paraId="61370029" w14:textId="77777777" w:rsidR="008F4494" w:rsidRDefault="008F4494" w:rsidP="008F4494">
      <w:pPr>
        <w:pStyle w:val="ListParagraph"/>
        <w:numPr>
          <w:ilvl w:val="2"/>
          <w:numId w:val="25"/>
        </w:numPr>
        <w:ind w:left="2160"/>
        <w:jc w:val="both"/>
      </w:pPr>
      <w:r>
        <w:t xml:space="preserve">The captain/skipper, observing the nationally established safety protocols, reports to Port Health, and in the absence of an </w:t>
      </w:r>
      <w:proofErr w:type="spellStart"/>
      <w:r>
        <w:t>Eseaclear</w:t>
      </w:r>
      <w:proofErr w:type="spellEnd"/>
      <w:r>
        <w:t xml:space="preserve"> declaration, collects the health questionnaire to be filled by each person on board, for submission to Port Health.</w:t>
      </w:r>
    </w:p>
    <w:p w14:paraId="160E0807" w14:textId="77777777" w:rsidR="008F4494" w:rsidRDefault="008F4494" w:rsidP="008F4494">
      <w:pPr>
        <w:pStyle w:val="ListParagraph"/>
        <w:ind w:left="3687"/>
        <w:jc w:val="both"/>
      </w:pPr>
    </w:p>
    <w:p w14:paraId="3356B3EF" w14:textId="6AD8B626" w:rsidR="008F4494" w:rsidRDefault="008F4494" w:rsidP="008F4494">
      <w:pPr>
        <w:pStyle w:val="ListParagraph"/>
        <w:numPr>
          <w:ilvl w:val="2"/>
          <w:numId w:val="25"/>
        </w:numPr>
        <w:ind w:left="2160"/>
        <w:jc w:val="both"/>
      </w:pPr>
      <w:r>
        <w:t>Time at sea, as well as any stops along the way, must be reported as requested on the IMO health declaration.</w:t>
      </w:r>
    </w:p>
    <w:p w14:paraId="2041A4ED" w14:textId="77777777" w:rsidR="008F4494" w:rsidRDefault="008F4494" w:rsidP="008F4494">
      <w:pPr>
        <w:pStyle w:val="ListParagraph"/>
        <w:ind w:left="3687"/>
        <w:jc w:val="both"/>
      </w:pPr>
    </w:p>
    <w:p w14:paraId="1160EE6B" w14:textId="77777777" w:rsidR="008F4494" w:rsidRDefault="008F4494" w:rsidP="008F4494">
      <w:pPr>
        <w:pStyle w:val="ListParagraph"/>
        <w:numPr>
          <w:ilvl w:val="2"/>
          <w:numId w:val="25"/>
        </w:numPr>
        <w:ind w:left="2160"/>
        <w:jc w:val="both"/>
      </w:pPr>
      <w:r>
        <w:t xml:space="preserve">If all on board have valid PCR tests, there were no stops at other ports since the port of origin, and the logged data indicates no covid-19 signs or symptoms of any member during the journey, then the time at sea shall be deemed valid as </w:t>
      </w:r>
      <w:r>
        <w:lastRenderedPageBreak/>
        <w:t>quarantine time.  If less than fourteen days, then the remaining days of quarantine must be done on arrival.</w:t>
      </w:r>
    </w:p>
    <w:p w14:paraId="4EA73BF0" w14:textId="77777777" w:rsidR="008F4494" w:rsidRDefault="008F4494" w:rsidP="008F4494">
      <w:pPr>
        <w:pStyle w:val="ListParagraph"/>
        <w:ind w:left="3687"/>
        <w:jc w:val="both"/>
      </w:pPr>
    </w:p>
    <w:p w14:paraId="5049D94B" w14:textId="7D114CB4" w:rsidR="008F4494" w:rsidRDefault="008F4494" w:rsidP="008F4494">
      <w:pPr>
        <w:pStyle w:val="ListParagraph"/>
        <w:numPr>
          <w:ilvl w:val="2"/>
          <w:numId w:val="25"/>
        </w:numPr>
        <w:ind w:left="2160"/>
        <w:jc w:val="both"/>
      </w:pPr>
      <w:r>
        <w:t>All arrival vessels must be flying their Q flags (Quarantine flags).</w:t>
      </w:r>
    </w:p>
    <w:p w14:paraId="3C21F321" w14:textId="77777777" w:rsidR="008F4494" w:rsidRDefault="008F4494" w:rsidP="008F4494">
      <w:pPr>
        <w:pStyle w:val="ListParagraph"/>
        <w:ind w:left="3687"/>
        <w:jc w:val="both"/>
      </w:pPr>
    </w:p>
    <w:p w14:paraId="7D790D81" w14:textId="77777777" w:rsidR="008F4494" w:rsidRDefault="008F4494" w:rsidP="008F4494">
      <w:pPr>
        <w:pStyle w:val="ListParagraph"/>
        <w:numPr>
          <w:ilvl w:val="2"/>
          <w:numId w:val="25"/>
        </w:numPr>
        <w:ind w:left="2160"/>
        <w:jc w:val="both"/>
      </w:pPr>
      <w:r>
        <w:t xml:space="preserve">Vessels directed to the Holding Area must remain there until cleared by Port Health. </w:t>
      </w:r>
    </w:p>
    <w:p w14:paraId="280809DF" w14:textId="77777777" w:rsidR="008F4494" w:rsidRDefault="008F4494" w:rsidP="008F4494">
      <w:pPr>
        <w:pStyle w:val="ListParagraph"/>
        <w:ind w:left="3687"/>
        <w:jc w:val="both"/>
      </w:pPr>
    </w:p>
    <w:p w14:paraId="576F7B2A" w14:textId="133B9ACD" w:rsidR="008F4494" w:rsidRDefault="008F4494" w:rsidP="008F4494">
      <w:pPr>
        <w:pStyle w:val="ListParagraph"/>
        <w:numPr>
          <w:ilvl w:val="2"/>
          <w:numId w:val="25"/>
        </w:numPr>
        <w:ind w:left="2160"/>
        <w:jc w:val="both"/>
      </w:pPr>
      <w:r>
        <w:t>Arrangements can be made for provisioning of vessels completing quarantine, so that they may be comfortable and safe.</w:t>
      </w:r>
    </w:p>
    <w:p w14:paraId="6AD4DB36" w14:textId="77777777" w:rsidR="008F4494" w:rsidRDefault="008F4494" w:rsidP="008F4494">
      <w:pPr>
        <w:pStyle w:val="ListParagraph"/>
        <w:ind w:left="3687"/>
        <w:jc w:val="both"/>
      </w:pPr>
    </w:p>
    <w:p w14:paraId="4C5BEEEF" w14:textId="4487F943" w:rsidR="35356D7A" w:rsidRDefault="35356D7A" w:rsidP="6FBCD926">
      <w:pPr>
        <w:pStyle w:val="ListParagraph"/>
        <w:numPr>
          <w:ilvl w:val="2"/>
          <w:numId w:val="25"/>
        </w:numPr>
        <w:spacing w:after="0"/>
        <w:ind w:left="2160"/>
        <w:jc w:val="both"/>
        <w:rPr>
          <w:rFonts w:eastAsiaTheme="minorEastAsia"/>
        </w:rPr>
      </w:pPr>
      <w:r>
        <w:t xml:space="preserve">There is an established travel bubble comprising six (6) </w:t>
      </w:r>
      <w:r w:rsidR="00F53693">
        <w:t>OECS</w:t>
      </w:r>
      <w:r>
        <w:t xml:space="preserve"> countries, along with Montserrat and Barbados. </w:t>
      </w:r>
      <w:r w:rsidR="00EB6EC6">
        <w:t>Given</w:t>
      </w:r>
      <w:r>
        <w:t xml:space="preserve"> the fluidity</w:t>
      </w:r>
      <w:r w:rsidR="20E6719A">
        <w:t xml:space="preserve"> </w:t>
      </w:r>
      <w:r>
        <w:t>of the COVID-19 situation, countries m</w:t>
      </w:r>
      <w:r w:rsidR="2DFB6354">
        <w:t>ay be removed from or added to the bubble from time to time.</w:t>
      </w:r>
    </w:p>
    <w:p w14:paraId="468A826D" w14:textId="5467A347" w:rsidR="6FBCD926" w:rsidRDefault="6FBCD926" w:rsidP="6FBCD926">
      <w:pPr>
        <w:spacing w:after="0"/>
        <w:ind w:left="2160" w:hanging="720"/>
        <w:jc w:val="both"/>
      </w:pPr>
    </w:p>
    <w:p w14:paraId="67F88B39" w14:textId="64D5B148" w:rsidR="008F4494" w:rsidRDefault="00EB6EC6" w:rsidP="00EB6EC6">
      <w:pPr>
        <w:pStyle w:val="ListParagraph"/>
        <w:ind w:left="2160"/>
        <w:jc w:val="both"/>
      </w:pPr>
      <w:r>
        <w:t>Once vessels already cleared in Antigua and Barbuda leave for another port that is at that time outside of the bubble, fresh testing and clearance will be required.</w:t>
      </w:r>
    </w:p>
    <w:p w14:paraId="4F8621BA" w14:textId="77777777" w:rsidR="00EB6EC6" w:rsidRDefault="00EB6EC6" w:rsidP="00EB6EC6">
      <w:pPr>
        <w:pStyle w:val="ListParagraph"/>
        <w:ind w:left="2160"/>
        <w:jc w:val="both"/>
      </w:pPr>
    </w:p>
    <w:p w14:paraId="76D928A1" w14:textId="1107BA74" w:rsidR="008F4494" w:rsidRDefault="008F4494" w:rsidP="008F4494">
      <w:pPr>
        <w:pStyle w:val="ListParagraph"/>
        <w:numPr>
          <w:ilvl w:val="2"/>
          <w:numId w:val="25"/>
        </w:numPr>
        <w:ind w:left="2160"/>
        <w:jc w:val="both"/>
      </w:pPr>
      <w:r>
        <w:t>Once requirements have been met, health checks done and a boat deemed of no risk, vessels will be instructed to proceed to customs/Immigration for usual clearance, then continue to their berths or anchorages as normal.</w:t>
      </w:r>
    </w:p>
    <w:p w14:paraId="03F89B0F" w14:textId="77777777" w:rsidR="008F4494" w:rsidRDefault="008F4494" w:rsidP="008F4494">
      <w:pPr>
        <w:pStyle w:val="ListParagraph"/>
        <w:ind w:left="3687"/>
        <w:jc w:val="both"/>
      </w:pPr>
    </w:p>
    <w:p w14:paraId="73613795" w14:textId="77777777" w:rsidR="008F4494" w:rsidRDefault="008F4494" w:rsidP="008F4494">
      <w:pPr>
        <w:pStyle w:val="ListParagraph"/>
        <w:numPr>
          <w:ilvl w:val="2"/>
          <w:numId w:val="25"/>
        </w:numPr>
        <w:ind w:left="2160"/>
        <w:jc w:val="both"/>
      </w:pPr>
      <w:r>
        <w:t>If there is a suspected case of COVID-19 on board, the vessel will be requested to stay in the holding area pending further Port Health instruction.</w:t>
      </w:r>
    </w:p>
    <w:p w14:paraId="739E449D" w14:textId="77777777" w:rsidR="008F4494" w:rsidRDefault="008F4494" w:rsidP="008F4494">
      <w:pPr>
        <w:pStyle w:val="ListParagraph"/>
        <w:ind w:left="3687"/>
        <w:jc w:val="both"/>
      </w:pPr>
    </w:p>
    <w:p w14:paraId="19BB340C" w14:textId="77777777" w:rsidR="008F4494" w:rsidRDefault="008F4494" w:rsidP="008F4494">
      <w:pPr>
        <w:pStyle w:val="ListParagraph"/>
        <w:numPr>
          <w:ilvl w:val="2"/>
          <w:numId w:val="25"/>
        </w:numPr>
        <w:ind w:left="2160"/>
        <w:jc w:val="both"/>
      </w:pPr>
      <w:r>
        <w:t>Vessels (skippers of) which fail to comply or are found to have lied or misled the authorities will be prosecuted.</w:t>
      </w:r>
    </w:p>
    <w:p w14:paraId="6286E998" w14:textId="77777777" w:rsidR="00D912E8" w:rsidRDefault="00D912E8" w:rsidP="00D639FB">
      <w:pPr>
        <w:pStyle w:val="ListParagraph"/>
        <w:jc w:val="both"/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DA7DCE" w14:paraId="237A57F9" w14:textId="77777777" w:rsidTr="072A65BB">
        <w:tc>
          <w:tcPr>
            <w:tcW w:w="9356" w:type="dxa"/>
            <w:shd w:val="clear" w:color="auto" w:fill="D9D9D9" w:themeFill="background1" w:themeFillShade="D9"/>
          </w:tcPr>
          <w:p w14:paraId="7B8B20E8" w14:textId="7D1F4A1C" w:rsidR="00DA7DCE" w:rsidRPr="00DA7DCE" w:rsidRDefault="008F4494" w:rsidP="00181EDD">
            <w:pPr>
              <w:pStyle w:val="ListParagraph"/>
              <w:numPr>
                <w:ilvl w:val="0"/>
                <w:numId w:val="25"/>
              </w:numPr>
              <w:ind w:left="318"/>
              <w:jc w:val="both"/>
              <w:rPr>
                <w:b/>
              </w:rPr>
            </w:pPr>
            <w:r>
              <w:rPr>
                <w:b/>
              </w:rPr>
              <w:t>Health &amp; Safety Requirements</w:t>
            </w:r>
          </w:p>
        </w:tc>
      </w:tr>
    </w:tbl>
    <w:p w14:paraId="62C52D7D" w14:textId="77777777" w:rsidR="00DA7DCE" w:rsidRDefault="00DA7DCE" w:rsidP="00D639FB">
      <w:pPr>
        <w:pStyle w:val="ListParagraph"/>
        <w:jc w:val="both"/>
      </w:pPr>
    </w:p>
    <w:p w14:paraId="46CF8907" w14:textId="1693578B" w:rsidR="008F4494" w:rsidRDefault="008F4494" w:rsidP="008F4494">
      <w:pPr>
        <w:pStyle w:val="ListParagraph"/>
        <w:numPr>
          <w:ilvl w:val="1"/>
          <w:numId w:val="25"/>
        </w:numPr>
        <w:ind w:left="2160"/>
      </w:pPr>
      <w:r>
        <w:t>Crew and passengers in the Holding Area are strictly required to remain on their vessels.</w:t>
      </w:r>
    </w:p>
    <w:p w14:paraId="2D9222AC" w14:textId="77777777" w:rsidR="008F4494" w:rsidRDefault="008F4494" w:rsidP="008F4494">
      <w:pPr>
        <w:pStyle w:val="ListParagraph"/>
        <w:ind w:left="2160"/>
      </w:pPr>
    </w:p>
    <w:p w14:paraId="0677EAE2" w14:textId="576431A7" w:rsidR="008F4494" w:rsidRDefault="008F4494" w:rsidP="008F4494">
      <w:pPr>
        <w:pStyle w:val="ListParagraph"/>
        <w:numPr>
          <w:ilvl w:val="1"/>
          <w:numId w:val="25"/>
        </w:numPr>
        <w:ind w:left="2160"/>
      </w:pPr>
      <w:r>
        <w:t>Persons who are completing quarantine will be required to remain within their vessels.</w:t>
      </w:r>
    </w:p>
    <w:p w14:paraId="3BFA25E6" w14:textId="77777777" w:rsidR="008F4494" w:rsidRDefault="008F4494" w:rsidP="008F4494">
      <w:pPr>
        <w:pStyle w:val="ListParagraph"/>
      </w:pPr>
    </w:p>
    <w:p w14:paraId="155173E4" w14:textId="7770CEBA" w:rsidR="008F4494" w:rsidRDefault="008F4494" w:rsidP="008F4494">
      <w:pPr>
        <w:pStyle w:val="ListParagraph"/>
        <w:numPr>
          <w:ilvl w:val="1"/>
          <w:numId w:val="25"/>
        </w:numPr>
        <w:ind w:left="2160"/>
      </w:pPr>
      <w:r>
        <w:t>On completing quarantine, persons will have the yellow bracelet removed.</w:t>
      </w:r>
    </w:p>
    <w:p w14:paraId="4CC51317" w14:textId="77777777" w:rsidR="008F4494" w:rsidRDefault="008F4494" w:rsidP="008F4494">
      <w:pPr>
        <w:pStyle w:val="ListParagraph"/>
      </w:pPr>
    </w:p>
    <w:p w14:paraId="1CD92868" w14:textId="77777777" w:rsidR="008F4494" w:rsidRDefault="008F4494" w:rsidP="008F4494">
      <w:pPr>
        <w:pStyle w:val="ListParagraph"/>
        <w:numPr>
          <w:ilvl w:val="1"/>
          <w:numId w:val="25"/>
        </w:numPr>
        <w:ind w:left="2160"/>
      </w:pPr>
      <w:r>
        <w:t>All crew and passengers who disembark are to comply with the established national health and safety protocols at all times; the wearing of a mask, the physical distancing and the hand-washing or sanitizing.</w:t>
      </w:r>
    </w:p>
    <w:p w14:paraId="070DDF0D" w14:textId="77777777" w:rsidR="006E55AA" w:rsidRDefault="006E55AA" w:rsidP="008F4494">
      <w:pPr>
        <w:pStyle w:val="ListParagraph"/>
        <w:ind w:left="1800"/>
      </w:pPr>
    </w:p>
    <w:sectPr w:rsidR="006E55AA" w:rsidSect="001019E7"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3B1F" w14:textId="77777777" w:rsidR="0070672B" w:rsidRDefault="0070672B" w:rsidP="008B307D">
      <w:pPr>
        <w:spacing w:after="0" w:line="240" w:lineRule="auto"/>
      </w:pPr>
      <w:r>
        <w:separator/>
      </w:r>
    </w:p>
  </w:endnote>
  <w:endnote w:type="continuationSeparator" w:id="0">
    <w:p w14:paraId="1D02A453" w14:textId="77777777" w:rsidR="0070672B" w:rsidRDefault="0070672B" w:rsidP="008B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CCAF" w14:textId="77777777" w:rsidR="00660945" w:rsidRPr="001019E7" w:rsidRDefault="00660945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sz w:val="16"/>
        <w:szCs w:val="16"/>
      </w:rPr>
    </w:pPr>
    <w:r w:rsidRPr="001019E7">
      <w:rPr>
        <w:rFonts w:asciiTheme="majorHAnsi" w:hAnsiTheme="majorHAnsi"/>
        <w:sz w:val="16"/>
        <w:szCs w:val="16"/>
      </w:rPr>
      <w:t>Ministry of Tourism &amp; Investment</w:t>
    </w:r>
  </w:p>
  <w:p w14:paraId="5668C4CE" w14:textId="77777777" w:rsidR="00545C35" w:rsidRPr="001019E7" w:rsidRDefault="00545C35" w:rsidP="00545C35">
    <w:pPr>
      <w:pStyle w:val="Footer"/>
      <w:rPr>
        <w:b/>
        <w:sz w:val="16"/>
        <w:szCs w:val="16"/>
      </w:rPr>
    </w:pPr>
    <w:r w:rsidRPr="001019E7">
      <w:rPr>
        <w:b/>
        <w:sz w:val="16"/>
        <w:szCs w:val="16"/>
      </w:rPr>
      <w:t xml:space="preserve">Final version, </w:t>
    </w:r>
    <w:r>
      <w:rPr>
        <w:b/>
        <w:sz w:val="16"/>
        <w:szCs w:val="16"/>
      </w:rPr>
      <w:t>Rev.17/9/2020</w:t>
    </w:r>
  </w:p>
  <w:p w14:paraId="510ECBAB" w14:textId="111464B9" w:rsidR="00660945" w:rsidRPr="001019E7" w:rsidRDefault="00660945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sz w:val="16"/>
        <w:szCs w:val="16"/>
      </w:rPr>
    </w:pPr>
    <w:r w:rsidRPr="001019E7">
      <w:rPr>
        <w:rFonts w:asciiTheme="majorHAnsi" w:hAnsiTheme="majorHAnsi"/>
        <w:sz w:val="16"/>
        <w:szCs w:val="16"/>
      </w:rPr>
      <w:ptab w:relativeTo="margin" w:alignment="right" w:leader="none"/>
    </w:r>
    <w:r w:rsidRPr="001019E7">
      <w:rPr>
        <w:rFonts w:asciiTheme="majorHAnsi" w:hAnsiTheme="majorHAnsi"/>
        <w:sz w:val="16"/>
        <w:szCs w:val="16"/>
      </w:rPr>
      <w:t xml:space="preserve">Page </w:t>
    </w:r>
    <w:r w:rsidRPr="001019E7">
      <w:rPr>
        <w:sz w:val="16"/>
        <w:szCs w:val="16"/>
      </w:rPr>
      <w:fldChar w:fldCharType="begin"/>
    </w:r>
    <w:r w:rsidRPr="001019E7">
      <w:rPr>
        <w:sz w:val="16"/>
        <w:szCs w:val="16"/>
      </w:rPr>
      <w:instrText xml:space="preserve"> PAGE   \* MERGEFORMAT </w:instrText>
    </w:r>
    <w:r w:rsidRPr="001019E7">
      <w:rPr>
        <w:sz w:val="16"/>
        <w:szCs w:val="16"/>
      </w:rPr>
      <w:fldChar w:fldCharType="separate"/>
    </w:r>
    <w:r w:rsidR="00C83079" w:rsidRPr="00C83079">
      <w:rPr>
        <w:rFonts w:asciiTheme="majorHAnsi" w:hAnsiTheme="majorHAnsi"/>
        <w:noProof/>
        <w:sz w:val="16"/>
        <w:szCs w:val="16"/>
      </w:rPr>
      <w:t>4</w:t>
    </w:r>
    <w:r w:rsidRPr="001019E7">
      <w:rPr>
        <w:rFonts w:asciiTheme="majorHAnsi" w:hAnsiTheme="majorHAnsi"/>
        <w:noProof/>
        <w:sz w:val="16"/>
        <w:szCs w:val="16"/>
      </w:rPr>
      <w:fldChar w:fldCharType="end"/>
    </w:r>
  </w:p>
  <w:p w14:paraId="30EEB23C" w14:textId="23381EFD" w:rsidR="00F23DD9" w:rsidRDefault="00F23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6FA81" w14:textId="7F4014EE" w:rsidR="001019E7" w:rsidRPr="001019E7" w:rsidRDefault="001019E7">
    <w:pPr>
      <w:pStyle w:val="Footer"/>
      <w:rPr>
        <w:b/>
        <w:sz w:val="16"/>
        <w:szCs w:val="16"/>
      </w:rPr>
    </w:pPr>
    <w:r w:rsidRPr="001019E7">
      <w:rPr>
        <w:b/>
        <w:sz w:val="16"/>
        <w:szCs w:val="16"/>
      </w:rPr>
      <w:t>Ministry of Tourism &amp; Investment</w:t>
    </w:r>
  </w:p>
  <w:p w14:paraId="586FE85E" w14:textId="3CCB9819" w:rsidR="001019E7" w:rsidRPr="001019E7" w:rsidRDefault="001019E7">
    <w:pPr>
      <w:pStyle w:val="Footer"/>
      <w:rPr>
        <w:b/>
        <w:sz w:val="16"/>
        <w:szCs w:val="16"/>
      </w:rPr>
    </w:pPr>
    <w:r w:rsidRPr="001019E7">
      <w:rPr>
        <w:b/>
        <w:sz w:val="16"/>
        <w:szCs w:val="16"/>
      </w:rPr>
      <w:t xml:space="preserve">Final version, </w:t>
    </w:r>
    <w:r w:rsidR="00CF4DF1">
      <w:rPr>
        <w:b/>
        <w:sz w:val="16"/>
        <w:szCs w:val="16"/>
      </w:rPr>
      <w:t>Rev.</w:t>
    </w:r>
    <w:r w:rsidR="00545C35">
      <w:rPr>
        <w:b/>
        <w:sz w:val="16"/>
        <w:szCs w:val="16"/>
      </w:rPr>
      <w:t>17/9/2020</w:t>
    </w:r>
  </w:p>
  <w:p w14:paraId="4DCED826" w14:textId="77777777" w:rsidR="001019E7" w:rsidRDefault="00101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6904B" w14:textId="77777777" w:rsidR="0070672B" w:rsidRDefault="0070672B" w:rsidP="008B307D">
      <w:pPr>
        <w:spacing w:after="0" w:line="240" w:lineRule="auto"/>
      </w:pPr>
      <w:r>
        <w:separator/>
      </w:r>
    </w:p>
  </w:footnote>
  <w:footnote w:type="continuationSeparator" w:id="0">
    <w:p w14:paraId="66E1A9C5" w14:textId="77777777" w:rsidR="0070672B" w:rsidRDefault="0070672B" w:rsidP="008B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275"/>
    <w:multiLevelType w:val="multilevel"/>
    <w:tmpl w:val="6A10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713" w:hanging="720"/>
      </w:pPr>
      <w:rPr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4B40FC"/>
    <w:multiLevelType w:val="multilevel"/>
    <w:tmpl w:val="6A10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713" w:hanging="720"/>
      </w:pPr>
      <w:rPr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77262C"/>
    <w:multiLevelType w:val="hybridMultilevel"/>
    <w:tmpl w:val="350C7086"/>
    <w:lvl w:ilvl="0" w:tplc="F8C4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140A"/>
    <w:multiLevelType w:val="hybridMultilevel"/>
    <w:tmpl w:val="131EB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E5423"/>
    <w:multiLevelType w:val="hybridMultilevel"/>
    <w:tmpl w:val="D1A2E72E"/>
    <w:lvl w:ilvl="0" w:tplc="77A6BCC2">
      <w:start w:val="1"/>
      <w:numFmt w:val="lowerRoman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0DFA665C"/>
    <w:multiLevelType w:val="hybridMultilevel"/>
    <w:tmpl w:val="F63E6D18"/>
    <w:lvl w:ilvl="0" w:tplc="7B3AF49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48802E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 w:tplc="F3B03B5A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 w:tplc="7D5A6F4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 w:tplc="0A0EFC9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8420613E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F5BA8628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113EDC86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BE8A5FEA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194181E"/>
    <w:multiLevelType w:val="hybridMultilevel"/>
    <w:tmpl w:val="F21A967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83354C"/>
    <w:multiLevelType w:val="hybridMultilevel"/>
    <w:tmpl w:val="C8641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7C67"/>
    <w:multiLevelType w:val="hybridMultilevel"/>
    <w:tmpl w:val="885478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4A0104"/>
    <w:multiLevelType w:val="hybridMultilevel"/>
    <w:tmpl w:val="26E471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02560"/>
    <w:multiLevelType w:val="hybridMultilevel"/>
    <w:tmpl w:val="2DA0C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C51CFB"/>
    <w:multiLevelType w:val="hybridMultilevel"/>
    <w:tmpl w:val="B7AA744C"/>
    <w:lvl w:ilvl="0" w:tplc="B9CA2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ACAE636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plc="27EE5CA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plc="1F0C5812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plc="091E2A7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plc="8EC4601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plc="C0529A3A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plc="30AEDCA2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plc="BB04FB4E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CA765F"/>
    <w:multiLevelType w:val="hybridMultilevel"/>
    <w:tmpl w:val="CC463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31019A"/>
    <w:multiLevelType w:val="hybridMultilevel"/>
    <w:tmpl w:val="99B083E6"/>
    <w:lvl w:ilvl="0" w:tplc="7DE8C14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94C698C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plc="788C10E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bCs/>
      </w:rPr>
    </w:lvl>
    <w:lvl w:ilvl="3" w:tplc="1ECA6D8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 w:tplc="5EC2CB9A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4C664514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88A81C2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51D4A42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DDB8981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AD41B2D"/>
    <w:multiLevelType w:val="hybridMultilevel"/>
    <w:tmpl w:val="7CF41F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EB541B"/>
    <w:multiLevelType w:val="hybridMultilevel"/>
    <w:tmpl w:val="B33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330F1"/>
    <w:multiLevelType w:val="hybridMultilevel"/>
    <w:tmpl w:val="B7AA744C"/>
    <w:lvl w:ilvl="0" w:tplc="7988B7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9EAA2C6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plc="2C94B3C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plc="B2505276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plc="EFD0B5F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plc="09A43A58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plc="C546B0F2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plc="C1567A5A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plc="356241FC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673780"/>
    <w:multiLevelType w:val="hybridMultilevel"/>
    <w:tmpl w:val="02642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0A1BE4"/>
    <w:multiLevelType w:val="hybridMultilevel"/>
    <w:tmpl w:val="99B083E6"/>
    <w:lvl w:ilvl="0" w:tplc="EAE87C2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C70FE2E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plc="CC56B96E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bCs/>
      </w:rPr>
    </w:lvl>
    <w:lvl w:ilvl="3" w:tplc="352C6B5C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 w:tplc="4AC2734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EDA21438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2916859A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FC421C2A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DEF84F46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C63DA5"/>
    <w:multiLevelType w:val="hybridMultilevel"/>
    <w:tmpl w:val="3FC4B6D6"/>
    <w:lvl w:ilvl="0" w:tplc="6F08ED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67A261C">
      <w:start w:val="1"/>
      <w:numFmt w:val="decimal"/>
      <w:lvlText w:val="%1.%2"/>
      <w:lvlJc w:val="left"/>
      <w:pPr>
        <w:ind w:left="1080" w:hanging="720"/>
      </w:pPr>
    </w:lvl>
    <w:lvl w:ilvl="2" w:tplc="5FFCC39C">
      <w:start w:val="1"/>
      <w:numFmt w:val="decimal"/>
      <w:lvlText w:val="%1.%2.%3"/>
      <w:lvlJc w:val="left"/>
      <w:pPr>
        <w:ind w:left="1713" w:hanging="720"/>
      </w:pPr>
      <w:rPr>
        <w:b/>
      </w:rPr>
    </w:lvl>
    <w:lvl w:ilvl="3" w:tplc="E4DEBF6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 w:tplc="B2AE4438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8190DB9C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72965E8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B898337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E0C8EEAC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F13497E"/>
    <w:multiLevelType w:val="hybridMultilevel"/>
    <w:tmpl w:val="96A265D2"/>
    <w:lvl w:ilvl="0" w:tplc="82E87ABA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82E87AB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671D8"/>
    <w:multiLevelType w:val="multilevel"/>
    <w:tmpl w:val="8DDE0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15913D2"/>
    <w:multiLevelType w:val="hybridMultilevel"/>
    <w:tmpl w:val="FA346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E9239D"/>
    <w:multiLevelType w:val="hybridMultilevel"/>
    <w:tmpl w:val="BD0037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F0631C"/>
    <w:multiLevelType w:val="hybridMultilevel"/>
    <w:tmpl w:val="83EEC088"/>
    <w:lvl w:ilvl="0" w:tplc="7B1E95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0562508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plc="F29CEC6C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 w:tplc="AA0898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 w:tplc="329A9BF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D8B2C27A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71CC1232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4BE62AEC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2A3E082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CA54CC3"/>
    <w:multiLevelType w:val="hybridMultilevel"/>
    <w:tmpl w:val="2C9CDEEC"/>
    <w:lvl w:ilvl="0" w:tplc="66B6B96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ABA7C98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plc="4A52C40E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 w:tplc="FFBA432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 w:tplc="71427A8E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0504DC4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22E86A1A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DA408416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C434B71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4A126C1"/>
    <w:multiLevelType w:val="hybridMultilevel"/>
    <w:tmpl w:val="E8D0F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6B7AFA"/>
    <w:multiLevelType w:val="hybridMultilevel"/>
    <w:tmpl w:val="4724C6C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22"/>
  </w:num>
  <w:num w:numId="8">
    <w:abstractNumId w:val="17"/>
  </w:num>
  <w:num w:numId="9">
    <w:abstractNumId w:val="27"/>
  </w:num>
  <w:num w:numId="10">
    <w:abstractNumId w:val="12"/>
  </w:num>
  <w:num w:numId="11">
    <w:abstractNumId w:val="23"/>
  </w:num>
  <w:num w:numId="12">
    <w:abstractNumId w:val="10"/>
  </w:num>
  <w:num w:numId="13">
    <w:abstractNumId w:val="8"/>
  </w:num>
  <w:num w:numId="14">
    <w:abstractNumId w:val="26"/>
  </w:num>
  <w:num w:numId="15">
    <w:abstractNumId w:val="21"/>
  </w:num>
  <w:num w:numId="16">
    <w:abstractNumId w:val="3"/>
  </w:num>
  <w:num w:numId="17">
    <w:abstractNumId w:val="14"/>
  </w:num>
  <w:num w:numId="18">
    <w:abstractNumId w:val="7"/>
  </w:num>
  <w:num w:numId="19">
    <w:abstractNumId w:val="6"/>
  </w:num>
  <w:num w:numId="20">
    <w:abstractNumId w:val="19"/>
  </w:num>
  <w:num w:numId="21">
    <w:abstractNumId w:val="15"/>
  </w:num>
  <w:num w:numId="22">
    <w:abstractNumId w:val="1"/>
  </w:num>
  <w:num w:numId="23">
    <w:abstractNumId w:val="24"/>
  </w:num>
  <w:num w:numId="24">
    <w:abstractNumId w:val="5"/>
  </w:num>
  <w:num w:numId="25">
    <w:abstractNumId w:val="18"/>
  </w:num>
  <w:num w:numId="26">
    <w:abstractNumId w:val="2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46"/>
    <w:rsid w:val="00001814"/>
    <w:rsid w:val="00031F79"/>
    <w:rsid w:val="000461E7"/>
    <w:rsid w:val="00057BA2"/>
    <w:rsid w:val="000658E7"/>
    <w:rsid w:val="000874BE"/>
    <w:rsid w:val="000A50C6"/>
    <w:rsid w:val="000B6CA3"/>
    <w:rsid w:val="000C7C7F"/>
    <w:rsid w:val="000F7181"/>
    <w:rsid w:val="001019E7"/>
    <w:rsid w:val="00106C1E"/>
    <w:rsid w:val="0011439C"/>
    <w:rsid w:val="00125E01"/>
    <w:rsid w:val="00181EDD"/>
    <w:rsid w:val="001A0C5A"/>
    <w:rsid w:val="001A30FF"/>
    <w:rsid w:val="001C0883"/>
    <w:rsid w:val="001D562D"/>
    <w:rsid w:val="001E075E"/>
    <w:rsid w:val="00216FD5"/>
    <w:rsid w:val="00224343"/>
    <w:rsid w:val="00230E96"/>
    <w:rsid w:val="00246866"/>
    <w:rsid w:val="00253DF2"/>
    <w:rsid w:val="00264BF5"/>
    <w:rsid w:val="00284105"/>
    <w:rsid w:val="00286208"/>
    <w:rsid w:val="00296322"/>
    <w:rsid w:val="002A7290"/>
    <w:rsid w:val="002E44BF"/>
    <w:rsid w:val="002E4806"/>
    <w:rsid w:val="00313AB9"/>
    <w:rsid w:val="003278D2"/>
    <w:rsid w:val="00330D60"/>
    <w:rsid w:val="00336F35"/>
    <w:rsid w:val="00342277"/>
    <w:rsid w:val="00361F4E"/>
    <w:rsid w:val="00370069"/>
    <w:rsid w:val="00375371"/>
    <w:rsid w:val="00376226"/>
    <w:rsid w:val="00391AEC"/>
    <w:rsid w:val="00396293"/>
    <w:rsid w:val="003C2893"/>
    <w:rsid w:val="003C2EDE"/>
    <w:rsid w:val="003E1273"/>
    <w:rsid w:val="0043012E"/>
    <w:rsid w:val="0043045B"/>
    <w:rsid w:val="004705D8"/>
    <w:rsid w:val="004C4E7A"/>
    <w:rsid w:val="00501346"/>
    <w:rsid w:val="00516DE6"/>
    <w:rsid w:val="00525105"/>
    <w:rsid w:val="00545C35"/>
    <w:rsid w:val="00575E46"/>
    <w:rsid w:val="005A2D8D"/>
    <w:rsid w:val="005A4A6C"/>
    <w:rsid w:val="005D154C"/>
    <w:rsid w:val="005D6967"/>
    <w:rsid w:val="005E3290"/>
    <w:rsid w:val="005F7940"/>
    <w:rsid w:val="006264DC"/>
    <w:rsid w:val="00640056"/>
    <w:rsid w:val="00660945"/>
    <w:rsid w:val="006709B9"/>
    <w:rsid w:val="00684BBF"/>
    <w:rsid w:val="00694CF6"/>
    <w:rsid w:val="006A036D"/>
    <w:rsid w:val="006A37CE"/>
    <w:rsid w:val="006B293A"/>
    <w:rsid w:val="006D455F"/>
    <w:rsid w:val="006E4DFB"/>
    <w:rsid w:val="006E55AA"/>
    <w:rsid w:val="0070672B"/>
    <w:rsid w:val="00736DA2"/>
    <w:rsid w:val="00764393"/>
    <w:rsid w:val="007857D7"/>
    <w:rsid w:val="0079421F"/>
    <w:rsid w:val="007C1754"/>
    <w:rsid w:val="007C6B94"/>
    <w:rsid w:val="007D44B1"/>
    <w:rsid w:val="007D4A00"/>
    <w:rsid w:val="00806743"/>
    <w:rsid w:val="00831064"/>
    <w:rsid w:val="00840E24"/>
    <w:rsid w:val="00886434"/>
    <w:rsid w:val="00893975"/>
    <w:rsid w:val="008B307D"/>
    <w:rsid w:val="008B636C"/>
    <w:rsid w:val="008D1203"/>
    <w:rsid w:val="008E356C"/>
    <w:rsid w:val="008F4494"/>
    <w:rsid w:val="009123E5"/>
    <w:rsid w:val="00912DB3"/>
    <w:rsid w:val="00941F59"/>
    <w:rsid w:val="00951C3D"/>
    <w:rsid w:val="009A24B7"/>
    <w:rsid w:val="009B0274"/>
    <w:rsid w:val="009B4360"/>
    <w:rsid w:val="009E2F4D"/>
    <w:rsid w:val="009F44C3"/>
    <w:rsid w:val="00A31C7A"/>
    <w:rsid w:val="00A43F0D"/>
    <w:rsid w:val="00A44084"/>
    <w:rsid w:val="00A440FE"/>
    <w:rsid w:val="00A44A72"/>
    <w:rsid w:val="00AC4532"/>
    <w:rsid w:val="00AD4A21"/>
    <w:rsid w:val="00AF02FA"/>
    <w:rsid w:val="00AF067C"/>
    <w:rsid w:val="00AF1178"/>
    <w:rsid w:val="00AF1C0D"/>
    <w:rsid w:val="00AF5795"/>
    <w:rsid w:val="00AF6FB6"/>
    <w:rsid w:val="00B01808"/>
    <w:rsid w:val="00B247DE"/>
    <w:rsid w:val="00B320C9"/>
    <w:rsid w:val="00B3460C"/>
    <w:rsid w:val="00B37101"/>
    <w:rsid w:val="00B51C02"/>
    <w:rsid w:val="00B817A5"/>
    <w:rsid w:val="00BB6C1D"/>
    <w:rsid w:val="00BD1F56"/>
    <w:rsid w:val="00BF5054"/>
    <w:rsid w:val="00C12185"/>
    <w:rsid w:val="00C3307F"/>
    <w:rsid w:val="00C703A3"/>
    <w:rsid w:val="00C83079"/>
    <w:rsid w:val="00C96E9C"/>
    <w:rsid w:val="00CD7B2F"/>
    <w:rsid w:val="00CF4DF1"/>
    <w:rsid w:val="00CF529F"/>
    <w:rsid w:val="00D17DBF"/>
    <w:rsid w:val="00D5117D"/>
    <w:rsid w:val="00D639FB"/>
    <w:rsid w:val="00D74F4E"/>
    <w:rsid w:val="00D86A33"/>
    <w:rsid w:val="00D90BB4"/>
    <w:rsid w:val="00D912E8"/>
    <w:rsid w:val="00DA54A1"/>
    <w:rsid w:val="00DA7DCE"/>
    <w:rsid w:val="00DB352B"/>
    <w:rsid w:val="00DD3C8E"/>
    <w:rsid w:val="00DE3C51"/>
    <w:rsid w:val="00E26F22"/>
    <w:rsid w:val="00E35E2A"/>
    <w:rsid w:val="00E4607C"/>
    <w:rsid w:val="00E51B03"/>
    <w:rsid w:val="00E7028A"/>
    <w:rsid w:val="00E80532"/>
    <w:rsid w:val="00E87E8B"/>
    <w:rsid w:val="00E91BB4"/>
    <w:rsid w:val="00EB6EC6"/>
    <w:rsid w:val="00EE452B"/>
    <w:rsid w:val="00EF0E7A"/>
    <w:rsid w:val="00EF3626"/>
    <w:rsid w:val="00F05079"/>
    <w:rsid w:val="00F23DD9"/>
    <w:rsid w:val="00F3787B"/>
    <w:rsid w:val="00F45181"/>
    <w:rsid w:val="00F53693"/>
    <w:rsid w:val="00F60138"/>
    <w:rsid w:val="00FA308C"/>
    <w:rsid w:val="00FD674C"/>
    <w:rsid w:val="012E4E13"/>
    <w:rsid w:val="049D2B6F"/>
    <w:rsid w:val="0501A0DD"/>
    <w:rsid w:val="05F8BEDE"/>
    <w:rsid w:val="05FDB3D3"/>
    <w:rsid w:val="07016AC3"/>
    <w:rsid w:val="072A65BB"/>
    <w:rsid w:val="07841902"/>
    <w:rsid w:val="07CDD43D"/>
    <w:rsid w:val="08C93C24"/>
    <w:rsid w:val="09679A3C"/>
    <w:rsid w:val="0A0FC0C8"/>
    <w:rsid w:val="0BA7D492"/>
    <w:rsid w:val="0EFDA1A8"/>
    <w:rsid w:val="0FF807B6"/>
    <w:rsid w:val="101EA1D5"/>
    <w:rsid w:val="118B998E"/>
    <w:rsid w:val="134E859A"/>
    <w:rsid w:val="16CCB0BA"/>
    <w:rsid w:val="17022653"/>
    <w:rsid w:val="192CE578"/>
    <w:rsid w:val="19903ABE"/>
    <w:rsid w:val="19BAC93F"/>
    <w:rsid w:val="1A6F7521"/>
    <w:rsid w:val="1A8C4036"/>
    <w:rsid w:val="1B066687"/>
    <w:rsid w:val="1B2DDF9D"/>
    <w:rsid w:val="20A1683E"/>
    <w:rsid w:val="20DB1F5E"/>
    <w:rsid w:val="20E6719A"/>
    <w:rsid w:val="21433154"/>
    <w:rsid w:val="214C5303"/>
    <w:rsid w:val="243B77C3"/>
    <w:rsid w:val="25F14ED5"/>
    <w:rsid w:val="26A159A3"/>
    <w:rsid w:val="278F88D3"/>
    <w:rsid w:val="2AB14334"/>
    <w:rsid w:val="2B9BFA53"/>
    <w:rsid w:val="2CEF934E"/>
    <w:rsid w:val="2DA93C8F"/>
    <w:rsid w:val="2DFB6354"/>
    <w:rsid w:val="2EF977CF"/>
    <w:rsid w:val="30A266D7"/>
    <w:rsid w:val="34423E82"/>
    <w:rsid w:val="34B51119"/>
    <w:rsid w:val="352A23AA"/>
    <w:rsid w:val="35356D7A"/>
    <w:rsid w:val="35CAC887"/>
    <w:rsid w:val="37575CD1"/>
    <w:rsid w:val="38DCE411"/>
    <w:rsid w:val="39431710"/>
    <w:rsid w:val="3AB17FE6"/>
    <w:rsid w:val="3C3AC3A9"/>
    <w:rsid w:val="3C9A41B6"/>
    <w:rsid w:val="3D2857CA"/>
    <w:rsid w:val="4057DBBB"/>
    <w:rsid w:val="407F2E6F"/>
    <w:rsid w:val="4145763E"/>
    <w:rsid w:val="416B8354"/>
    <w:rsid w:val="42010638"/>
    <w:rsid w:val="42F6DE95"/>
    <w:rsid w:val="44497F77"/>
    <w:rsid w:val="44FBF6BB"/>
    <w:rsid w:val="46E0323C"/>
    <w:rsid w:val="49050BC0"/>
    <w:rsid w:val="4AFE1834"/>
    <w:rsid w:val="4CC3B0DE"/>
    <w:rsid w:val="4E31C90B"/>
    <w:rsid w:val="5134EAE2"/>
    <w:rsid w:val="524B5FE1"/>
    <w:rsid w:val="54749F43"/>
    <w:rsid w:val="55B513C1"/>
    <w:rsid w:val="56B1C399"/>
    <w:rsid w:val="57F7BF65"/>
    <w:rsid w:val="58481601"/>
    <w:rsid w:val="5933ACA2"/>
    <w:rsid w:val="5AB694F3"/>
    <w:rsid w:val="5CB15B34"/>
    <w:rsid w:val="5DD1EE8F"/>
    <w:rsid w:val="5EC5A500"/>
    <w:rsid w:val="60455C6D"/>
    <w:rsid w:val="60FF5672"/>
    <w:rsid w:val="623E49D7"/>
    <w:rsid w:val="6318BA75"/>
    <w:rsid w:val="654701CF"/>
    <w:rsid w:val="6550A754"/>
    <w:rsid w:val="65CEE109"/>
    <w:rsid w:val="664DE65B"/>
    <w:rsid w:val="66A96FC1"/>
    <w:rsid w:val="693C8DAD"/>
    <w:rsid w:val="6B1609E7"/>
    <w:rsid w:val="6B87287B"/>
    <w:rsid w:val="6F234451"/>
    <w:rsid w:val="6FBCD926"/>
    <w:rsid w:val="70FF113F"/>
    <w:rsid w:val="722F5A09"/>
    <w:rsid w:val="732BA3A0"/>
    <w:rsid w:val="780C3FD7"/>
    <w:rsid w:val="799FFE6E"/>
    <w:rsid w:val="7A73FA79"/>
    <w:rsid w:val="7C0E301A"/>
    <w:rsid w:val="7C4104AA"/>
    <w:rsid w:val="7D3DA585"/>
    <w:rsid w:val="7E635C23"/>
    <w:rsid w:val="7FE0F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D203FF"/>
  <w15:chartTrackingRefBased/>
  <w15:docId w15:val="{7707159D-67C2-4E85-8E99-44B29C4D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07D"/>
  </w:style>
  <w:style w:type="paragraph" w:styleId="Footer">
    <w:name w:val="footer"/>
    <w:basedOn w:val="Normal"/>
    <w:link w:val="FooterChar"/>
    <w:uiPriority w:val="99"/>
    <w:unhideWhenUsed/>
    <w:rsid w:val="008B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07D"/>
  </w:style>
  <w:style w:type="character" w:styleId="CommentReference">
    <w:name w:val="annotation reference"/>
    <w:basedOn w:val="DefaultParagraphFont"/>
    <w:uiPriority w:val="99"/>
    <w:semiHidden/>
    <w:unhideWhenUsed/>
    <w:rsid w:val="009A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2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F11A70AB0F46A6D19F2BC3ECDEBE" ma:contentTypeVersion="7" ma:contentTypeDescription="Create a new document." ma:contentTypeScope="" ma:versionID="dda7a3be6813282778037689c8b0310a">
  <xsd:schema xmlns:xsd="http://www.w3.org/2001/XMLSchema" xmlns:xs="http://www.w3.org/2001/XMLSchema" xmlns:p="http://schemas.microsoft.com/office/2006/metadata/properties" xmlns:ns3="0f27c785-8601-4736-9de9-259e80ee28bc" xmlns:ns4="121e2b5e-6729-4ded-b368-80505cafc512" targetNamespace="http://schemas.microsoft.com/office/2006/metadata/properties" ma:root="true" ma:fieldsID="94122b84024e853b8b497194bf8d5a38" ns3:_="" ns4:_="">
    <xsd:import namespace="0f27c785-8601-4736-9de9-259e80ee28bc"/>
    <xsd:import namespace="121e2b5e-6729-4ded-b368-80505cafc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7c785-8601-4736-9de9-259e80ee2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e2b5e-6729-4ded-b368-80505cafc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3960B-6B7D-4D49-82C7-1F572A54B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6FC71-37A1-46F6-95D0-F14C8B902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7c785-8601-4736-9de9-259e80ee28bc"/>
    <ds:schemaRef ds:uri="121e2b5e-6729-4ded-b368-80505caf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5287B-AFFD-4941-8647-1EBD953897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559F9-DEFE-4003-BDA7-663C8DBA11BC}">
  <ds:schemaRefs>
    <ds:schemaRef ds:uri="http://purl.org/dc/terms/"/>
    <ds:schemaRef ds:uri="http://schemas.openxmlformats.org/package/2006/metadata/core-properties"/>
    <ds:schemaRef ds:uri="0f27c785-8601-4736-9de9-259e80ee28b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21e2b5e-6729-4ded-b368-80505cafc5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Nicholas</dc:creator>
  <cp:keywords/>
  <dc:description/>
  <cp:lastModifiedBy>Simone Nicholas</cp:lastModifiedBy>
  <cp:revision>11</cp:revision>
  <cp:lastPrinted>2020-09-08T16:25:00Z</cp:lastPrinted>
  <dcterms:created xsi:type="dcterms:W3CDTF">2020-09-08T15:54:00Z</dcterms:created>
  <dcterms:modified xsi:type="dcterms:W3CDTF">2020-09-17T17:39:00Z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0x0101004670F11A70AB0F46A6D19F2BC3ECDEBE</vt:lpwstr>
  </property>
</Properties>
</file>